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51ECB">
      <w:pPr>
        <w:spacing w:before="43"/>
        <w:rPr>
          <w:rFonts w:ascii="Times New Roman" w:hAnsi="Times New Roman" w:eastAsia="黑体" w:cs="Times New Roman"/>
          <w:color w:val="auto"/>
          <w:sz w:val="32"/>
        </w:rPr>
      </w:pPr>
      <w:r>
        <w:rPr>
          <w:rFonts w:ascii="Times New Roman" w:hAnsi="Times New Roman" w:eastAsia="黑体" w:cs="Times New Roman"/>
          <w:color w:val="auto"/>
          <w:sz w:val="32"/>
        </w:rPr>
        <w:t>附件</w:t>
      </w:r>
      <w:r>
        <w:rPr>
          <w:rFonts w:hint="eastAsia" w:ascii="Times New Roman" w:hAnsi="Times New Roman" w:eastAsia="黑体" w:cs="Times New Roman"/>
          <w:color w:val="auto"/>
          <w:sz w:val="32"/>
          <w:lang w:val="en-US" w:eastAsia="zh-CN"/>
        </w:rPr>
        <w:t>3</w:t>
      </w:r>
      <w:r>
        <w:rPr>
          <w:rFonts w:ascii="Times New Roman" w:hAnsi="Times New Roman" w:eastAsia="黑体" w:cs="Times New Roman"/>
          <w:color w:val="auto"/>
          <w:sz w:val="32"/>
        </w:rPr>
        <w:t>：</w:t>
      </w:r>
    </w:p>
    <w:p w14:paraId="60EC6F20">
      <w:pPr>
        <w:pStyle w:val="5"/>
        <w:rPr>
          <w:rFonts w:ascii="Times New Roman" w:hAnsi="Times New Roman" w:cs="Times New Roman"/>
          <w:color w:val="auto"/>
          <w:sz w:val="20"/>
        </w:rPr>
      </w:pPr>
    </w:p>
    <w:p w14:paraId="049B3884">
      <w:pPr>
        <w:pStyle w:val="5"/>
        <w:rPr>
          <w:rFonts w:ascii="Times New Roman" w:hAnsi="Times New Roman" w:cs="Times New Roman"/>
          <w:color w:val="auto"/>
          <w:sz w:val="20"/>
        </w:rPr>
      </w:pPr>
    </w:p>
    <w:p w14:paraId="7369833B">
      <w:pPr>
        <w:pStyle w:val="5"/>
        <w:spacing w:before="6"/>
        <w:rPr>
          <w:rFonts w:ascii="Times New Roman" w:hAnsi="Times New Roman" w:cs="Times New Roman"/>
          <w:color w:val="auto"/>
          <w:sz w:val="25"/>
        </w:rPr>
      </w:pPr>
    </w:p>
    <w:p w14:paraId="4A7A06C7">
      <w:pPr>
        <w:spacing w:before="27"/>
        <w:ind w:left="1042" w:right="1167"/>
        <w:jc w:val="center"/>
        <w:rPr>
          <w:rFonts w:ascii="Times New Roman" w:hAnsi="Times New Roman" w:eastAsia="黑体" w:cs="Times New Roman"/>
          <w:color w:val="auto"/>
          <w:sz w:val="52"/>
        </w:rPr>
      </w:pPr>
      <w:r>
        <w:rPr>
          <w:rFonts w:ascii="Times New Roman" w:hAnsi="Times New Roman" w:eastAsia="黑体" w:cs="Times New Roman"/>
          <w:color w:val="auto"/>
          <w:sz w:val="52"/>
        </w:rPr>
        <w:t>普通高等学校本科专业设置申请表</w:t>
      </w:r>
    </w:p>
    <w:p w14:paraId="446A4989">
      <w:pPr>
        <w:rPr>
          <w:rFonts w:ascii="Times New Roman" w:hAnsi="Times New Roman" w:cs="Times New Roman"/>
          <w:color w:val="auto"/>
          <w:sz w:val="36"/>
        </w:rPr>
      </w:pPr>
    </w:p>
    <w:p w14:paraId="084D2C6D">
      <w:pPr>
        <w:spacing w:before="5"/>
        <w:rPr>
          <w:rFonts w:ascii="Times New Roman" w:hAnsi="Times New Roman" w:cs="Times New Roman"/>
          <w:color w:val="auto"/>
          <w:sz w:val="25"/>
        </w:rPr>
      </w:pPr>
    </w:p>
    <w:p w14:paraId="297387CA">
      <w:pPr>
        <w:pStyle w:val="5"/>
        <w:ind w:left="1658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校长签字：</w:t>
      </w:r>
    </w:p>
    <w:p w14:paraId="12210FA0">
      <w:pPr>
        <w:pStyle w:val="5"/>
        <w:spacing w:before="164" w:line="393" w:lineRule="auto"/>
        <w:ind w:left="1658" w:right="-15"/>
        <w:rPr>
          <w:rFonts w:hint="eastAsia" w:ascii="Times New Roman" w:hAnsi="Times New Roman" w:eastAsia="宋体" w:cs="Times New Roman"/>
          <w:color w:val="auto"/>
          <w:spacing w:val="-9"/>
        </w:rPr>
      </w:pPr>
      <w:r>
        <w:rPr>
          <w:rFonts w:ascii="Times New Roman" w:hAnsi="Times New Roman" w:eastAsia="宋体" w:cs="Times New Roman"/>
          <w:color w:val="auto"/>
        </w:rPr>
        <w:t>学校名称</w:t>
      </w:r>
      <w:r>
        <w:rPr>
          <w:rFonts w:hint="eastAsia" w:ascii="Times New Roman" w:hAnsi="Times New Roman" w:eastAsia="宋体" w:cs="Times New Roman"/>
          <w:color w:val="auto"/>
          <w:lang w:eastAsia="zh-CN"/>
        </w:rPr>
        <w:t>（</w:t>
      </w:r>
      <w:r>
        <w:rPr>
          <w:rFonts w:ascii="Times New Roman" w:hAnsi="Times New Roman" w:eastAsia="宋体" w:cs="Times New Roman"/>
          <w:color w:val="auto"/>
        </w:rPr>
        <w:t>盖章</w:t>
      </w:r>
      <w:r>
        <w:rPr>
          <w:rFonts w:hint="eastAsia" w:ascii="Times New Roman" w:hAnsi="Times New Roman" w:eastAsia="宋体" w:cs="Times New Roman"/>
          <w:color w:val="auto"/>
          <w:lang w:eastAsia="zh-CN"/>
        </w:rPr>
        <w:t>）：</w:t>
      </w:r>
      <w:r>
        <w:rPr>
          <w:rFonts w:hint="eastAsia" w:ascii="Times New Roman" w:hAnsi="Times New Roman" w:eastAsia="宋体" w:cs="Times New Roman"/>
          <w:color w:val="auto"/>
          <w:spacing w:val="-9"/>
        </w:rPr>
        <w:t>新疆财经大学</w:t>
      </w:r>
    </w:p>
    <w:p w14:paraId="73663A64">
      <w:pPr>
        <w:pStyle w:val="5"/>
        <w:spacing w:line="393" w:lineRule="auto"/>
        <w:ind w:left="1658" w:right="-15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学校主管部门：</w:t>
      </w:r>
      <w:r>
        <w:rPr>
          <w:rFonts w:hint="eastAsia" w:ascii="Times New Roman" w:hAnsi="Times New Roman" w:eastAsia="宋体" w:cs="Times New Roman"/>
          <w:color w:val="auto"/>
        </w:rPr>
        <w:t>新疆维吾尔自治区教育厅</w:t>
      </w:r>
    </w:p>
    <w:p w14:paraId="1C3399BF">
      <w:pPr>
        <w:pStyle w:val="5"/>
        <w:spacing w:line="427" w:lineRule="exact"/>
        <w:ind w:left="1658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专业名称：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国际经贸规则</w:t>
      </w:r>
    </w:p>
    <w:p w14:paraId="7B01BEFA">
      <w:pPr>
        <w:pStyle w:val="5"/>
        <w:spacing w:before="258"/>
        <w:ind w:left="1658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专业代码：</w:t>
      </w:r>
    </w:p>
    <w:p w14:paraId="67066D3B">
      <w:pPr>
        <w:pStyle w:val="5"/>
        <w:spacing w:before="259" w:line="374" w:lineRule="auto"/>
        <w:ind w:left="1658" w:right="-15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所属学科门类及专业类</w:t>
      </w:r>
      <w:r>
        <w:rPr>
          <w:rFonts w:hint="eastAsia" w:ascii="Times New Roman" w:hAnsi="Times New Roman" w:eastAsia="宋体" w:cs="Times New Roman"/>
          <w:color w:val="auto"/>
        </w:rPr>
        <w:t>：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法学/</w:t>
      </w:r>
      <w:r>
        <w:rPr>
          <w:rFonts w:ascii="Times New Roman" w:hAnsi="Times New Roman" w:eastAsia="宋体" w:cs="Times New Roman"/>
          <w:color w:val="auto"/>
        </w:rPr>
        <w:t>法学类</w:t>
      </w:r>
    </w:p>
    <w:p w14:paraId="08FE7F00">
      <w:pPr>
        <w:pStyle w:val="5"/>
        <w:spacing w:line="374" w:lineRule="auto"/>
        <w:ind w:left="1658" w:right="-15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学位授予门类：法学</w:t>
      </w:r>
    </w:p>
    <w:p w14:paraId="3AF75E69">
      <w:pPr>
        <w:pStyle w:val="5"/>
        <w:spacing w:before="1" w:line="374" w:lineRule="auto"/>
        <w:ind w:left="1658" w:right="-15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修业年限：四年</w:t>
      </w:r>
    </w:p>
    <w:p w14:paraId="604D813E">
      <w:pPr>
        <w:pStyle w:val="5"/>
        <w:spacing w:before="1" w:line="374" w:lineRule="auto"/>
        <w:ind w:left="1658" w:right="-15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申请时间：</w:t>
      </w:r>
      <w:r>
        <w:rPr>
          <w:rFonts w:hint="eastAsia" w:ascii="Times New Roman" w:hAnsi="Times New Roman" w:eastAsia="宋体" w:cs="Times New Roman"/>
          <w:color w:val="auto"/>
        </w:rPr>
        <w:t>202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color w:val="auto"/>
        </w:rPr>
        <w:t>年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color w:val="auto"/>
        </w:rPr>
        <w:t>月</w:t>
      </w:r>
      <w:r>
        <w:rPr>
          <w:rFonts w:ascii="Times New Roman" w:hAnsi="Times New Roman" w:eastAsia="宋体" w:cs="Times New Roman"/>
          <w:color w:val="auto"/>
        </w:rPr>
        <w:t xml:space="preserve"> </w:t>
      </w:r>
    </w:p>
    <w:p w14:paraId="3855639F">
      <w:pPr>
        <w:pStyle w:val="5"/>
        <w:spacing w:before="1" w:line="374" w:lineRule="auto"/>
        <w:ind w:left="1658" w:right="-15"/>
        <w:rPr>
          <w:rFonts w:hint="eastAsia"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专业负责人：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沈子华</w:t>
      </w:r>
      <w:r>
        <w:rPr>
          <w:rFonts w:ascii="Times New Roman" w:hAnsi="Times New Roman" w:eastAsia="宋体" w:cs="Times New Roman"/>
          <w:color w:val="auto"/>
        </w:rPr>
        <w:t xml:space="preserve"> </w:t>
      </w:r>
    </w:p>
    <w:p w14:paraId="7433BD5F">
      <w:pPr>
        <w:pStyle w:val="5"/>
        <w:spacing w:before="1" w:line="374" w:lineRule="auto"/>
        <w:ind w:left="1658" w:right="-15"/>
        <w:rPr>
          <w:rFonts w:hint="default" w:ascii="Times New Roman" w:hAnsi="Times New Roman" w:eastAsia="宋体" w:cs="Times New Roman"/>
          <w:color w:val="auto"/>
          <w:lang w:val="en-US" w:eastAsia="zh-CN"/>
        </w:rPr>
      </w:pPr>
      <w:r>
        <w:rPr>
          <w:rFonts w:ascii="Times New Roman" w:hAnsi="Times New Roman" w:eastAsia="宋体" w:cs="Times New Roman"/>
          <w:color w:val="auto"/>
        </w:rPr>
        <w:t>联系电话：</w:t>
      </w:r>
      <w:r>
        <w:rPr>
          <w:rFonts w:hint="eastAsia" w:ascii="Times New Roman" w:hAnsi="Times New Roman" w:eastAsia="宋体" w:cs="Times New Roman"/>
          <w:color w:val="auto"/>
          <w:lang w:val="en-US" w:eastAsia="zh-CN"/>
        </w:rPr>
        <w:t>13669932385</w:t>
      </w:r>
    </w:p>
    <w:p w14:paraId="4499C937">
      <w:pPr>
        <w:rPr>
          <w:rFonts w:ascii="Times New Roman" w:hAnsi="Times New Roman" w:cs="Times New Roman"/>
          <w:color w:val="auto"/>
          <w:sz w:val="36"/>
        </w:rPr>
      </w:pPr>
    </w:p>
    <w:p w14:paraId="7F5AC037">
      <w:pPr>
        <w:spacing w:before="3"/>
        <w:rPr>
          <w:rFonts w:ascii="Times New Roman" w:hAnsi="Times New Roman" w:cs="Times New Roman"/>
          <w:color w:val="auto"/>
          <w:sz w:val="34"/>
        </w:rPr>
      </w:pPr>
    </w:p>
    <w:p w14:paraId="035A50D1">
      <w:pPr>
        <w:spacing w:before="3"/>
        <w:rPr>
          <w:rFonts w:ascii="Times New Roman" w:hAnsi="Times New Roman" w:cs="Times New Roman"/>
          <w:color w:val="auto"/>
          <w:sz w:val="34"/>
        </w:rPr>
      </w:pPr>
    </w:p>
    <w:p w14:paraId="0EE06DE2">
      <w:pPr>
        <w:spacing w:before="3"/>
        <w:rPr>
          <w:rFonts w:ascii="Times New Roman" w:hAnsi="Times New Roman" w:cs="Times New Roman"/>
          <w:color w:val="auto"/>
          <w:sz w:val="34"/>
        </w:rPr>
      </w:pPr>
    </w:p>
    <w:p w14:paraId="1F163840">
      <w:pPr>
        <w:spacing w:before="3"/>
        <w:rPr>
          <w:rFonts w:ascii="Times New Roman" w:hAnsi="Times New Roman" w:cs="Times New Roman"/>
          <w:color w:val="auto"/>
          <w:sz w:val="34"/>
        </w:rPr>
      </w:pPr>
    </w:p>
    <w:p w14:paraId="07CFC764">
      <w:pPr>
        <w:pStyle w:val="5"/>
        <w:ind w:left="912" w:right="1167"/>
        <w:jc w:val="center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教育部制</w:t>
      </w:r>
    </w:p>
    <w:p w14:paraId="483E2EE6">
      <w:pPr>
        <w:pStyle w:val="5"/>
        <w:ind w:left="912" w:right="1167"/>
        <w:jc w:val="center"/>
        <w:rPr>
          <w:rFonts w:ascii="Times New Roman" w:hAnsi="Times New Roman" w:eastAsia="宋体" w:cs="Times New Roman"/>
          <w:color w:val="auto"/>
        </w:rPr>
      </w:pPr>
    </w:p>
    <w:p w14:paraId="22D03123">
      <w:pPr>
        <w:pStyle w:val="5"/>
        <w:ind w:left="912" w:right="1167"/>
        <w:jc w:val="center"/>
        <w:rPr>
          <w:rFonts w:ascii="Times New Roman" w:hAnsi="Times New Roman" w:eastAsia="宋体" w:cs="Times New Roman"/>
          <w:color w:val="auto"/>
        </w:rPr>
        <w:sectPr>
          <w:headerReference r:id="rId3" w:type="default"/>
          <w:footerReference r:id="rId4" w:type="default"/>
          <w:pgSz w:w="11910" w:h="16840"/>
          <w:pgMar w:top="1320" w:right="660" w:bottom="901" w:left="120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</w:sectPr>
      </w:pPr>
    </w:p>
    <w:p w14:paraId="667E8A4D">
      <w:pPr>
        <w:pStyle w:val="2"/>
        <w:rPr>
          <w:rFonts w:hint="eastAsia"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1.学校基本情况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8"/>
        <w:gridCol w:w="1009"/>
        <w:gridCol w:w="966"/>
        <w:gridCol w:w="838"/>
        <w:gridCol w:w="335"/>
        <w:gridCol w:w="345"/>
        <w:gridCol w:w="904"/>
        <w:gridCol w:w="861"/>
        <w:gridCol w:w="198"/>
        <w:gridCol w:w="155"/>
        <w:gridCol w:w="2541"/>
      </w:tblGrid>
      <w:tr w14:paraId="07A03806">
        <w:trPr>
          <w:trHeight w:val="467" w:hRule="atLeast"/>
        </w:trPr>
        <w:tc>
          <w:tcPr>
            <w:tcW w:w="1858" w:type="dxa"/>
          </w:tcPr>
          <w:p w14:paraId="69BA8DF6">
            <w:pPr>
              <w:pStyle w:val="13"/>
              <w:spacing w:before="79"/>
              <w:ind w:left="97" w:right="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学校名称</w:t>
            </w:r>
          </w:p>
        </w:tc>
        <w:tc>
          <w:tcPr>
            <w:tcW w:w="1975" w:type="dxa"/>
            <w:gridSpan w:val="2"/>
            <w:vAlign w:val="center"/>
          </w:tcPr>
          <w:p w14:paraId="66530124">
            <w:pPr>
              <w:pStyle w:val="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新疆财经大学</w:t>
            </w:r>
          </w:p>
        </w:tc>
        <w:tc>
          <w:tcPr>
            <w:tcW w:w="1518" w:type="dxa"/>
            <w:gridSpan w:val="3"/>
            <w:vAlign w:val="center"/>
          </w:tcPr>
          <w:p w14:paraId="4599478F">
            <w:pPr>
              <w:pStyle w:val="13"/>
              <w:spacing w:before="79"/>
              <w:ind w:left="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学校代码</w:t>
            </w:r>
          </w:p>
        </w:tc>
        <w:tc>
          <w:tcPr>
            <w:tcW w:w="4659" w:type="dxa"/>
            <w:gridSpan w:val="5"/>
            <w:vAlign w:val="center"/>
          </w:tcPr>
          <w:p w14:paraId="43CDEB58">
            <w:pPr>
              <w:pStyle w:val="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766</w:t>
            </w:r>
          </w:p>
        </w:tc>
      </w:tr>
      <w:tr w14:paraId="6D557615">
        <w:trPr>
          <w:trHeight w:val="467" w:hRule="atLeast"/>
        </w:trPr>
        <w:tc>
          <w:tcPr>
            <w:tcW w:w="1858" w:type="dxa"/>
          </w:tcPr>
          <w:p w14:paraId="05CC3669">
            <w:pPr>
              <w:pStyle w:val="13"/>
              <w:spacing w:before="79"/>
              <w:ind w:left="97" w:right="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邮政编码</w:t>
            </w:r>
          </w:p>
        </w:tc>
        <w:tc>
          <w:tcPr>
            <w:tcW w:w="1975" w:type="dxa"/>
            <w:gridSpan w:val="2"/>
            <w:vAlign w:val="center"/>
          </w:tcPr>
          <w:p w14:paraId="30292394">
            <w:pPr>
              <w:pStyle w:val="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8300</w:t>
            </w:r>
            <w:r>
              <w:rPr>
                <w:rFonts w:hint="eastAsia" w:ascii="Times New Roman" w:hAnsi="Times New Roman" w:cs="Times New Roman"/>
                <w:sz w:val="24"/>
                <w:lang w:val="en-US"/>
              </w:rPr>
              <w:t>12</w:t>
            </w:r>
          </w:p>
        </w:tc>
        <w:tc>
          <w:tcPr>
            <w:tcW w:w="1518" w:type="dxa"/>
            <w:gridSpan w:val="3"/>
            <w:vAlign w:val="center"/>
          </w:tcPr>
          <w:p w14:paraId="6A35A1D6">
            <w:pPr>
              <w:pStyle w:val="13"/>
              <w:spacing w:before="79"/>
              <w:ind w:left="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学校网址</w:t>
            </w:r>
          </w:p>
        </w:tc>
        <w:tc>
          <w:tcPr>
            <w:tcW w:w="4659" w:type="dxa"/>
            <w:gridSpan w:val="5"/>
            <w:vAlign w:val="center"/>
          </w:tcPr>
          <w:p w14:paraId="6BE65461">
            <w:pPr>
              <w:pStyle w:val="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http://www.xufe.edu.cn</w:t>
            </w:r>
          </w:p>
        </w:tc>
      </w:tr>
      <w:tr w14:paraId="269D4C4B">
        <w:trPr>
          <w:trHeight w:val="758" w:hRule="atLeast"/>
        </w:trPr>
        <w:tc>
          <w:tcPr>
            <w:tcW w:w="1858" w:type="dxa"/>
          </w:tcPr>
          <w:p w14:paraId="2286147C">
            <w:pPr>
              <w:pStyle w:val="13"/>
              <w:spacing w:before="79" w:line="304" w:lineRule="auto"/>
              <w:ind w:left="448" w:right="43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学校办学基本类型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14:paraId="5E6DF901">
            <w:pPr>
              <w:pStyle w:val="13"/>
              <w:spacing w:before="79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教育部直属院校</w:t>
            </w:r>
          </w:p>
          <w:p w14:paraId="7ECF79BD">
            <w:pPr>
              <w:pStyle w:val="13"/>
              <w:tabs>
                <w:tab w:val="left" w:pos="1091"/>
              </w:tabs>
              <w:spacing w:before="160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公办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民办</w:t>
            </w:r>
          </w:p>
        </w:tc>
        <w:tc>
          <w:tcPr>
            <w:tcW w:w="2422" w:type="dxa"/>
            <w:gridSpan w:val="4"/>
            <w:tcBorders>
              <w:left w:val="nil"/>
              <w:right w:val="nil"/>
            </w:tcBorders>
          </w:tcPr>
          <w:p w14:paraId="3C6E67A4">
            <w:pPr>
              <w:pStyle w:val="13"/>
              <w:spacing w:before="79"/>
              <w:ind w:left="32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其他部委所属院校</w:t>
            </w:r>
          </w:p>
          <w:p w14:paraId="18A32318">
            <w:pPr>
              <w:pStyle w:val="13"/>
              <w:spacing w:before="160"/>
              <w:ind w:left="10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中外合作办学机构</w:t>
            </w:r>
          </w:p>
        </w:tc>
        <w:tc>
          <w:tcPr>
            <w:tcW w:w="3755" w:type="dxa"/>
            <w:gridSpan w:val="4"/>
            <w:tcBorders>
              <w:left w:val="nil"/>
            </w:tcBorders>
          </w:tcPr>
          <w:p w14:paraId="12120E20">
            <w:pPr>
              <w:pStyle w:val="13"/>
              <w:spacing w:before="79"/>
              <w:ind w:left="32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地方院校</w:t>
            </w:r>
          </w:p>
        </w:tc>
      </w:tr>
      <w:tr w14:paraId="5211CDD4">
        <w:trPr>
          <w:trHeight w:val="812" w:hRule="atLeast"/>
        </w:trPr>
        <w:tc>
          <w:tcPr>
            <w:tcW w:w="1858" w:type="dxa"/>
          </w:tcPr>
          <w:p w14:paraId="1AB997EC">
            <w:pPr>
              <w:pStyle w:val="13"/>
              <w:spacing w:before="79"/>
              <w:ind w:left="97" w:right="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现有本科</w:t>
            </w:r>
          </w:p>
          <w:p w14:paraId="2495CB02">
            <w:pPr>
              <w:pStyle w:val="13"/>
              <w:spacing w:before="160"/>
              <w:ind w:left="97" w:right="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专业数</w:t>
            </w:r>
          </w:p>
        </w:tc>
        <w:tc>
          <w:tcPr>
            <w:tcW w:w="2813" w:type="dxa"/>
            <w:gridSpan w:val="3"/>
            <w:vAlign w:val="center"/>
          </w:tcPr>
          <w:p w14:paraId="4D8FD7D1">
            <w:pPr>
              <w:pStyle w:val="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sz w:val="24"/>
                <w:lang w:val="en-US"/>
              </w:rPr>
              <w:t>个</w:t>
            </w:r>
          </w:p>
        </w:tc>
        <w:tc>
          <w:tcPr>
            <w:tcW w:w="2445" w:type="dxa"/>
            <w:gridSpan w:val="4"/>
            <w:vAlign w:val="center"/>
          </w:tcPr>
          <w:p w14:paraId="7ABD0ADC">
            <w:pPr>
              <w:pStyle w:val="13"/>
              <w:spacing w:before="79"/>
              <w:ind w:left="239" w:right="23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上一年度全校本科</w:t>
            </w:r>
          </w:p>
          <w:p w14:paraId="563D910C">
            <w:pPr>
              <w:pStyle w:val="13"/>
              <w:spacing w:before="160"/>
              <w:ind w:left="239" w:right="23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招生人数</w:t>
            </w:r>
          </w:p>
        </w:tc>
        <w:tc>
          <w:tcPr>
            <w:tcW w:w="2894" w:type="dxa"/>
            <w:gridSpan w:val="3"/>
            <w:vAlign w:val="center"/>
          </w:tcPr>
          <w:p w14:paraId="6DBC4B14">
            <w:pPr>
              <w:pStyle w:val="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5061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/>
              </w:rPr>
              <w:t>人</w:t>
            </w:r>
          </w:p>
        </w:tc>
      </w:tr>
      <w:tr w14:paraId="370C7EB3">
        <w:trPr>
          <w:trHeight w:val="936" w:hRule="atLeast"/>
        </w:trPr>
        <w:tc>
          <w:tcPr>
            <w:tcW w:w="1858" w:type="dxa"/>
          </w:tcPr>
          <w:p w14:paraId="2CEC6A8F">
            <w:pPr>
              <w:pStyle w:val="13"/>
              <w:spacing w:before="79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上一年度全校</w:t>
            </w:r>
          </w:p>
          <w:p w14:paraId="472752A2">
            <w:pPr>
              <w:pStyle w:val="13"/>
              <w:spacing w:before="161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本科毕业人数</w:t>
            </w:r>
          </w:p>
        </w:tc>
        <w:tc>
          <w:tcPr>
            <w:tcW w:w="2813" w:type="dxa"/>
            <w:gridSpan w:val="3"/>
            <w:vAlign w:val="center"/>
          </w:tcPr>
          <w:p w14:paraId="7F04F1AC">
            <w:pPr>
              <w:pStyle w:val="13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3683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/>
              </w:rPr>
              <w:t>人</w:t>
            </w:r>
          </w:p>
        </w:tc>
        <w:tc>
          <w:tcPr>
            <w:tcW w:w="2445" w:type="dxa"/>
            <w:gridSpan w:val="4"/>
            <w:vAlign w:val="center"/>
          </w:tcPr>
          <w:p w14:paraId="7470CF6A">
            <w:pPr>
              <w:pStyle w:val="13"/>
              <w:ind w:left="37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学校所在省市区</w:t>
            </w:r>
          </w:p>
        </w:tc>
        <w:tc>
          <w:tcPr>
            <w:tcW w:w="2894" w:type="dxa"/>
            <w:gridSpan w:val="3"/>
            <w:vAlign w:val="center"/>
          </w:tcPr>
          <w:p w14:paraId="2A4A186E">
            <w:pPr>
              <w:pStyle w:val="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新疆</w:t>
            </w:r>
            <w:r>
              <w:rPr>
                <w:rFonts w:hint="eastAsia" w:ascii="Times New Roman" w:cs="Times New Roman"/>
                <w:sz w:val="24"/>
              </w:rPr>
              <w:t>乌鲁木齐市新市区</w:t>
            </w:r>
          </w:p>
        </w:tc>
      </w:tr>
      <w:tr w14:paraId="1A43AE62">
        <w:trPr>
          <w:trHeight w:val="940" w:hRule="atLeast"/>
        </w:trPr>
        <w:tc>
          <w:tcPr>
            <w:tcW w:w="1858" w:type="dxa"/>
          </w:tcPr>
          <w:p w14:paraId="6C8BCA9D">
            <w:pPr>
              <w:pStyle w:val="13"/>
              <w:spacing w:before="168" w:line="249" w:lineRule="auto"/>
              <w:ind w:left="448" w:right="43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已有专业学科门类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14:paraId="30CC7722">
            <w:pPr>
              <w:pStyle w:val="13"/>
              <w:tabs>
                <w:tab w:val="left" w:pos="1091"/>
              </w:tabs>
              <w:spacing w:before="81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哲学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经济学</w:t>
            </w:r>
          </w:p>
          <w:p w14:paraId="045DE2A6">
            <w:pPr>
              <w:pStyle w:val="13"/>
              <w:tabs>
                <w:tab w:val="left" w:pos="1091"/>
              </w:tabs>
              <w:spacing w:before="84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理学</w:t>
            </w:r>
            <w:r>
              <w:rPr>
                <w:rFonts w:ascii="Times New Roman" w:hAnsi="Times New Roman" w:cs="Times New Roman"/>
                <w:sz w:val="24"/>
              </w:rPr>
              <w:tab/>
            </w: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工学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14:paraId="3A58FC5F">
            <w:pPr>
              <w:pStyle w:val="13"/>
              <w:spacing w:before="81"/>
              <w:ind w:left="34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法学</w:t>
            </w:r>
          </w:p>
          <w:p w14:paraId="09670FD3">
            <w:pPr>
              <w:pStyle w:val="13"/>
              <w:spacing w:before="84"/>
              <w:ind w:left="34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农学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14:paraId="2952D52C">
            <w:pPr>
              <w:pStyle w:val="13"/>
              <w:spacing w:before="81"/>
              <w:ind w:left="15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教育学</w:t>
            </w:r>
          </w:p>
          <w:p w14:paraId="5BAC886F">
            <w:pPr>
              <w:pStyle w:val="13"/>
              <w:spacing w:before="84"/>
              <w:ind w:left="15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医学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14:paraId="6CAC7C18">
            <w:pPr>
              <w:pStyle w:val="13"/>
              <w:spacing w:before="81"/>
              <w:ind w:left="1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文学</w:t>
            </w:r>
          </w:p>
          <w:p w14:paraId="7E5115CD">
            <w:pPr>
              <w:pStyle w:val="13"/>
              <w:spacing w:before="84"/>
              <w:ind w:left="13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管理学</w:t>
            </w:r>
          </w:p>
        </w:tc>
        <w:tc>
          <w:tcPr>
            <w:tcW w:w="2696" w:type="dxa"/>
            <w:gridSpan w:val="2"/>
            <w:tcBorders>
              <w:left w:val="nil"/>
            </w:tcBorders>
          </w:tcPr>
          <w:p w14:paraId="77ACC5A4">
            <w:pPr>
              <w:pStyle w:val="13"/>
              <w:spacing w:before="81"/>
              <w:ind w:left="18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历史学</w:t>
            </w:r>
          </w:p>
          <w:p w14:paraId="350B676C">
            <w:pPr>
              <w:pStyle w:val="13"/>
              <w:spacing w:before="84"/>
              <w:ind w:left="18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□</w:t>
            </w:r>
            <w:r>
              <w:rPr>
                <w:rFonts w:ascii="Times New Roman" w:cs="Times New Roman"/>
                <w:sz w:val="24"/>
              </w:rPr>
              <w:t>艺术学</w:t>
            </w:r>
          </w:p>
        </w:tc>
      </w:tr>
      <w:tr w14:paraId="009BE8C1">
        <w:trPr>
          <w:trHeight w:val="784" w:hRule="atLeast"/>
        </w:trPr>
        <w:tc>
          <w:tcPr>
            <w:tcW w:w="1858" w:type="dxa"/>
          </w:tcPr>
          <w:p w14:paraId="4C3A689C">
            <w:pPr>
              <w:pStyle w:val="13"/>
              <w:spacing w:before="8"/>
              <w:rPr>
                <w:rFonts w:ascii="Times New Roman" w:hAnsi="Times New Roman" w:cs="Times New Roman"/>
                <w:sz w:val="25"/>
              </w:rPr>
            </w:pPr>
          </w:p>
          <w:p w14:paraId="57E53A3C">
            <w:pPr>
              <w:pStyle w:val="13"/>
              <w:ind w:left="97" w:right="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学校性质</w:t>
            </w:r>
          </w:p>
        </w:tc>
        <w:tc>
          <w:tcPr>
            <w:tcW w:w="1009" w:type="dxa"/>
            <w:tcBorders>
              <w:right w:val="nil"/>
            </w:tcBorders>
          </w:tcPr>
          <w:p w14:paraId="24A6CAED">
            <w:pPr>
              <w:pStyle w:val="13"/>
              <w:spacing w:before="158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综合</w:t>
            </w:r>
          </w:p>
          <w:p w14:paraId="44B8504F">
            <w:pPr>
              <w:pStyle w:val="13"/>
              <w:spacing w:before="4"/>
              <w:ind w:left="10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语言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B4C8825">
            <w:pPr>
              <w:pStyle w:val="13"/>
              <w:spacing w:before="158"/>
              <w:ind w:left="18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理工</w:t>
            </w:r>
          </w:p>
          <w:p w14:paraId="55436817">
            <w:pPr>
              <w:pStyle w:val="13"/>
              <w:spacing w:before="4"/>
              <w:ind w:left="18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■</w:t>
            </w:r>
            <w:r>
              <w:rPr>
                <w:rFonts w:ascii="Times New Roman" w:cs="Times New Roman"/>
                <w:sz w:val="24"/>
              </w:rPr>
              <w:t>财经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14:paraId="7AEDDE51">
            <w:pPr>
              <w:pStyle w:val="13"/>
              <w:spacing w:before="158"/>
              <w:ind w:left="29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农业</w:t>
            </w:r>
          </w:p>
          <w:p w14:paraId="167D577C">
            <w:pPr>
              <w:pStyle w:val="13"/>
              <w:spacing w:before="4"/>
              <w:ind w:left="29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政法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14:paraId="7327828D">
            <w:pPr>
              <w:pStyle w:val="13"/>
              <w:spacing w:before="158"/>
              <w:ind w:left="20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林业</w:t>
            </w:r>
          </w:p>
          <w:p w14:paraId="6547C21D">
            <w:pPr>
              <w:pStyle w:val="13"/>
              <w:spacing w:before="4"/>
              <w:ind w:left="20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体育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14:paraId="0B8790E2">
            <w:pPr>
              <w:pStyle w:val="13"/>
              <w:spacing w:before="158"/>
              <w:ind w:left="3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医药</w:t>
            </w:r>
          </w:p>
          <w:p w14:paraId="779B9049">
            <w:pPr>
              <w:pStyle w:val="13"/>
              <w:spacing w:before="4"/>
              <w:ind w:left="3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艺术</w:t>
            </w:r>
          </w:p>
        </w:tc>
        <w:tc>
          <w:tcPr>
            <w:tcW w:w="2696" w:type="dxa"/>
            <w:gridSpan w:val="2"/>
            <w:tcBorders>
              <w:left w:val="nil"/>
            </w:tcBorders>
          </w:tcPr>
          <w:p w14:paraId="264288B5">
            <w:pPr>
              <w:pStyle w:val="13"/>
              <w:spacing w:before="158"/>
              <w:ind w:left="5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师范</w:t>
            </w:r>
          </w:p>
          <w:p w14:paraId="5C5A9EA2">
            <w:pPr>
              <w:pStyle w:val="13"/>
              <w:spacing w:before="4"/>
              <w:ind w:left="5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○</w:t>
            </w:r>
            <w:r>
              <w:rPr>
                <w:rFonts w:ascii="Times New Roman" w:cs="Times New Roman"/>
                <w:sz w:val="24"/>
              </w:rPr>
              <w:t>民族</w:t>
            </w:r>
          </w:p>
        </w:tc>
      </w:tr>
      <w:tr w14:paraId="5F07839B">
        <w:trPr>
          <w:trHeight w:val="656" w:hRule="atLeast"/>
        </w:trPr>
        <w:tc>
          <w:tcPr>
            <w:tcW w:w="1858" w:type="dxa"/>
          </w:tcPr>
          <w:p w14:paraId="746BE2E0">
            <w:pPr>
              <w:pStyle w:val="13"/>
              <w:spacing w:before="40" w:line="304" w:lineRule="auto"/>
              <w:ind w:left="688" w:right="437" w:hanging="24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专任教师总数</w:t>
            </w:r>
          </w:p>
        </w:tc>
        <w:tc>
          <w:tcPr>
            <w:tcW w:w="2813" w:type="dxa"/>
            <w:gridSpan w:val="3"/>
            <w:vAlign w:val="center"/>
          </w:tcPr>
          <w:p w14:paraId="62776FDC">
            <w:pPr>
              <w:pStyle w:val="13"/>
              <w:jc w:val="center"/>
              <w:rPr>
                <w:rFonts w:hint="eastAsia" w:ascii="Times New Roman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965</w:t>
            </w:r>
            <w:r>
              <w:rPr>
                <w:rFonts w:hint="eastAsia" w:ascii="Times New Roman" w:hAnsi="Times New Roman" w:cs="Times New Roman"/>
                <w:sz w:val="24"/>
                <w:lang w:val="en-US"/>
              </w:rPr>
              <w:t>人</w:t>
            </w:r>
          </w:p>
        </w:tc>
        <w:tc>
          <w:tcPr>
            <w:tcW w:w="2798" w:type="dxa"/>
            <w:gridSpan w:val="6"/>
            <w:vAlign w:val="center"/>
          </w:tcPr>
          <w:p w14:paraId="5546006E">
            <w:pPr>
              <w:pStyle w:val="13"/>
              <w:jc w:val="center"/>
              <w:rPr>
                <w:rFonts w:hint="eastAsia" w:asci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专任教师中副教授及以上职称教师数</w:t>
            </w:r>
          </w:p>
        </w:tc>
        <w:tc>
          <w:tcPr>
            <w:tcW w:w="2541" w:type="dxa"/>
            <w:vAlign w:val="center"/>
          </w:tcPr>
          <w:p w14:paraId="2C687BA2">
            <w:pPr>
              <w:pStyle w:val="13"/>
              <w:jc w:val="center"/>
              <w:rPr>
                <w:rFonts w:hint="eastAsia" w:ascii="Times New Roman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305</w:t>
            </w:r>
            <w:r>
              <w:rPr>
                <w:rFonts w:hint="eastAsia" w:ascii="Times New Roman" w:hAnsi="Times New Roman" w:cs="Times New Roman"/>
                <w:sz w:val="24"/>
                <w:lang w:val="en-US"/>
              </w:rPr>
              <w:t>人</w:t>
            </w:r>
          </w:p>
        </w:tc>
      </w:tr>
      <w:tr w14:paraId="2E1D360F">
        <w:trPr>
          <w:trHeight w:val="719" w:hRule="atLeast"/>
        </w:trPr>
        <w:tc>
          <w:tcPr>
            <w:tcW w:w="1858" w:type="dxa"/>
          </w:tcPr>
          <w:p w14:paraId="385391E9">
            <w:pPr>
              <w:pStyle w:val="13"/>
              <w:spacing w:before="4"/>
              <w:rPr>
                <w:rFonts w:ascii="Times New Roman" w:hAnsi="Times New Roman" w:cs="Times New Roman"/>
                <w:sz w:val="21"/>
              </w:rPr>
            </w:pPr>
          </w:p>
          <w:p w14:paraId="2AF8959E">
            <w:pPr>
              <w:pStyle w:val="13"/>
              <w:ind w:left="97" w:right="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学校主管部门</w:t>
            </w:r>
          </w:p>
        </w:tc>
        <w:tc>
          <w:tcPr>
            <w:tcW w:w="2813" w:type="dxa"/>
            <w:gridSpan w:val="3"/>
            <w:vAlign w:val="center"/>
          </w:tcPr>
          <w:p w14:paraId="5FC14561">
            <w:pPr>
              <w:pStyle w:val="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新疆维吾尔自治区教育厅</w:t>
            </w:r>
          </w:p>
        </w:tc>
        <w:tc>
          <w:tcPr>
            <w:tcW w:w="2798" w:type="dxa"/>
            <w:gridSpan w:val="6"/>
            <w:vAlign w:val="center"/>
          </w:tcPr>
          <w:p w14:paraId="4A309359">
            <w:pPr>
              <w:pStyle w:val="13"/>
              <w:ind w:left="91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建校时间</w:t>
            </w:r>
          </w:p>
        </w:tc>
        <w:tc>
          <w:tcPr>
            <w:tcW w:w="2541" w:type="dxa"/>
            <w:vAlign w:val="center"/>
          </w:tcPr>
          <w:p w14:paraId="501BE94D">
            <w:pPr>
              <w:pStyle w:val="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0</w:t>
            </w:r>
            <w:r>
              <w:rPr>
                <w:rFonts w:ascii="Times New Roman" w:cs="Times New Roman"/>
                <w:sz w:val="24"/>
              </w:rPr>
              <w:t>年</w:t>
            </w:r>
          </w:p>
        </w:tc>
      </w:tr>
      <w:tr w14:paraId="4CA88841">
        <w:trPr>
          <w:trHeight w:val="628" w:hRule="atLeast"/>
        </w:trPr>
        <w:tc>
          <w:tcPr>
            <w:tcW w:w="1858" w:type="dxa"/>
          </w:tcPr>
          <w:p w14:paraId="6B4C086A">
            <w:pPr>
              <w:pStyle w:val="13"/>
              <w:spacing w:before="117" w:line="242" w:lineRule="auto"/>
              <w:ind w:left="448" w:right="197" w:hanging="24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首次举办本科教育年份</w:t>
            </w:r>
          </w:p>
        </w:tc>
        <w:tc>
          <w:tcPr>
            <w:tcW w:w="8152" w:type="dxa"/>
            <w:gridSpan w:val="10"/>
            <w:vAlign w:val="center"/>
          </w:tcPr>
          <w:p w14:paraId="0975761D">
            <w:pPr>
              <w:pStyle w:val="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>
              <w:rPr>
                <w:rFonts w:hint="eastAsia" w:ascii="Times New Roman" w:hAnsi="Times New Roman" w:cs="Times New Roman"/>
                <w:sz w:val="24"/>
                <w:lang w:val="en-US"/>
              </w:rPr>
              <w:t>59</w:t>
            </w:r>
            <w:r>
              <w:rPr>
                <w:rFonts w:ascii="Times New Roman" w:cs="Times New Roman"/>
                <w:sz w:val="24"/>
              </w:rPr>
              <w:t>年</w:t>
            </w:r>
          </w:p>
        </w:tc>
      </w:tr>
      <w:tr w14:paraId="6B93D2EC">
        <w:trPr>
          <w:trHeight w:val="347" w:hRule="atLeast"/>
        </w:trPr>
        <w:tc>
          <w:tcPr>
            <w:tcW w:w="1858" w:type="dxa"/>
          </w:tcPr>
          <w:p w14:paraId="2F9D208E">
            <w:pPr>
              <w:pStyle w:val="13"/>
              <w:ind w:left="97" w:right="8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曾用名</w:t>
            </w:r>
          </w:p>
        </w:tc>
        <w:tc>
          <w:tcPr>
            <w:tcW w:w="8152" w:type="dxa"/>
            <w:gridSpan w:val="10"/>
            <w:vAlign w:val="center"/>
          </w:tcPr>
          <w:p w14:paraId="60C914EB">
            <w:pPr>
              <w:pStyle w:val="1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新疆财经学院</w:t>
            </w:r>
          </w:p>
        </w:tc>
      </w:tr>
      <w:tr w14:paraId="3F895620">
        <w:trPr>
          <w:trHeight w:val="1989" w:hRule="atLeast"/>
        </w:trPr>
        <w:tc>
          <w:tcPr>
            <w:tcW w:w="1858" w:type="dxa"/>
            <w:vAlign w:val="center"/>
          </w:tcPr>
          <w:p w14:paraId="568A6F0A">
            <w:pPr>
              <w:pStyle w:val="13"/>
              <w:spacing w:before="215" w:line="364" w:lineRule="auto"/>
              <w:ind w:left="328" w:right="31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学校简介和历史沿革</w:t>
            </w:r>
          </w:p>
          <w:p w14:paraId="639CA8D3">
            <w:pPr>
              <w:pStyle w:val="13"/>
              <w:spacing w:before="2"/>
              <w:ind w:left="97" w:right="9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  <w:szCs w:val="24"/>
                <w:lang w:val="en-US"/>
              </w:rPr>
              <w:t>（150字以内）</w:t>
            </w:r>
          </w:p>
        </w:tc>
        <w:tc>
          <w:tcPr>
            <w:tcW w:w="8152" w:type="dxa"/>
            <w:gridSpan w:val="10"/>
          </w:tcPr>
          <w:p w14:paraId="6CDBBB6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/>
                <w:sz w:val="24"/>
                <w:szCs w:val="24"/>
                <w:lang w:val="en-US"/>
              </w:rPr>
              <w:t>砥砺奋进7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  <w:lang w:val="en-US"/>
              </w:rPr>
              <w:t>载，扎根新疆大地，培养德才兼备、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高素质、复合型</w:t>
            </w:r>
            <w:r>
              <w:rPr>
                <w:rFonts w:hint="eastAsia"/>
                <w:sz w:val="24"/>
                <w:szCs w:val="24"/>
                <w:lang w:val="en-US"/>
              </w:rPr>
              <w:t>多民族财经人才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/>
                <w:sz w:val="24"/>
                <w:szCs w:val="24"/>
                <w:lang w:val="en-US"/>
              </w:rPr>
              <w:t>1998年获批硕士学位授予权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/>
                <w:sz w:val="24"/>
                <w:szCs w:val="24"/>
                <w:lang w:val="en-US"/>
              </w:rPr>
              <w:t>2012年获批国家特殊需求博士人才培养项目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，2018</w:t>
            </w:r>
            <w:r>
              <w:rPr>
                <w:rFonts w:hint="eastAsia"/>
                <w:sz w:val="24"/>
                <w:szCs w:val="24"/>
                <w:lang w:val="en-US"/>
              </w:rPr>
              <w:t>年获批博士学位授予单位。有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  <w:lang w:val="en-US"/>
              </w:rPr>
              <w:t>个博士一级学科授权点、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/>
                <w:sz w:val="24"/>
                <w:szCs w:val="24"/>
                <w:lang w:val="en-US"/>
              </w:rPr>
              <w:t>个一级学科硕士学位授权点、1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  <w:lang w:val="en-US"/>
              </w:rPr>
              <w:t>个硕士专业学位授权点，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/>
                <w:sz w:val="24"/>
                <w:szCs w:val="24"/>
                <w:lang w:val="en-US"/>
              </w:rPr>
              <w:t>个国家级一流本科专业建设点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,20门国家级一流本科课程</w:t>
            </w:r>
            <w:r>
              <w:rPr>
                <w:rFonts w:hint="eastAsia"/>
                <w:sz w:val="24"/>
                <w:szCs w:val="24"/>
                <w:lang w:val="en-US"/>
              </w:rPr>
              <w:t>。</w:t>
            </w:r>
          </w:p>
        </w:tc>
      </w:tr>
      <w:tr w14:paraId="7DA9E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</w:trPr>
        <w:tc>
          <w:tcPr>
            <w:tcW w:w="1858" w:type="dxa"/>
            <w:vAlign w:val="center"/>
          </w:tcPr>
          <w:p w14:paraId="105A8370">
            <w:pPr>
              <w:pStyle w:val="13"/>
              <w:spacing w:before="79" w:line="364" w:lineRule="auto"/>
              <w:ind w:right="5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/>
                <w:sz w:val="24"/>
              </w:rPr>
              <w:t>学校近五年专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cs="Times New Roman"/>
                <w:spacing w:val="-3"/>
                <w:sz w:val="24"/>
              </w:rPr>
              <w:t>业增设停招</w:t>
            </w:r>
            <w:r>
              <w:rPr>
                <w:rFonts w:ascii="Times New Roman" w:cs="Times New Roman"/>
                <w:sz w:val="24"/>
              </w:rPr>
              <w:t>撤并情况（</w:t>
            </w:r>
            <w:r>
              <w:rPr>
                <w:rFonts w:ascii="Times New Roman" w:hAnsi="Times New Roman" w:cs="Times New Roman"/>
                <w:sz w:val="24"/>
              </w:rPr>
              <w:t>300</w:t>
            </w:r>
            <w:r>
              <w:rPr>
                <w:rFonts w:ascii="Times New Roman" w:cs="Times New Roman"/>
                <w:sz w:val="24"/>
              </w:rPr>
              <w:t>字以内）</w:t>
            </w:r>
          </w:p>
        </w:tc>
        <w:tc>
          <w:tcPr>
            <w:tcW w:w="8152" w:type="dxa"/>
            <w:gridSpan w:val="10"/>
            <w:vAlign w:val="center"/>
          </w:tcPr>
          <w:p w14:paraId="4BA89F8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新疆财经大学现有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48</w:t>
            </w:r>
            <w:r>
              <w:rPr>
                <w:rFonts w:hint="eastAsia"/>
                <w:sz w:val="24"/>
                <w:szCs w:val="24"/>
              </w:rPr>
              <w:t>个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/>
                <w:sz w:val="24"/>
                <w:szCs w:val="24"/>
              </w:rPr>
              <w:t>专业。学校通过对人才需求市场调查与预测，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2020年停招“信息安全”“农村区域发展”2</w:t>
            </w:r>
            <w:r>
              <w:rPr>
                <w:rFonts w:hint="eastAsia"/>
                <w:sz w:val="24"/>
                <w:szCs w:val="24"/>
                <w:lang w:val="en-US"/>
              </w:rPr>
              <w:t>个专业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，2025年停招“信息管理与信息系统”1个专业。2020年增设“金融科技”1个专业，2021年增设“商务英语”“数字经济”“网络与新媒体”3个专业，2023年增设“能源经济”“人工智能”2个专业，2024年增设“供应链管理”“城市管理”2个专业，2025年增设“冰雪运动”“数学与应用数学”“俄语”“数字文旅”“跨境电子商务”5个专业。</w:t>
            </w:r>
          </w:p>
        </w:tc>
      </w:tr>
    </w:tbl>
    <w:p w14:paraId="2F6ED511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2.申报专业基本情况</w:t>
      </w:r>
    </w:p>
    <w:p w14:paraId="7BDC4E42">
      <w:pPr>
        <w:pStyle w:val="5"/>
        <w:spacing w:before="4"/>
        <w:rPr>
          <w:rFonts w:ascii="Times New Roman" w:hAnsi="Times New Roman" w:cs="Times New Roman"/>
          <w:color w:val="auto"/>
          <w:sz w:val="6"/>
        </w:rPr>
      </w:pPr>
    </w:p>
    <w:tbl>
      <w:tblPr>
        <w:tblStyle w:val="11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3"/>
        <w:gridCol w:w="2390"/>
        <w:gridCol w:w="1986"/>
        <w:gridCol w:w="405"/>
        <w:gridCol w:w="2394"/>
      </w:tblGrid>
      <w:tr w14:paraId="70D8F691">
        <w:trPr>
          <w:trHeight w:val="397" w:hRule="atLeast"/>
        </w:trPr>
        <w:tc>
          <w:tcPr>
            <w:tcW w:w="2393" w:type="dxa"/>
            <w:noWrap w:val="0"/>
            <w:vAlign w:val="center"/>
          </w:tcPr>
          <w:p w14:paraId="1D7F9116">
            <w:pPr>
              <w:pStyle w:val="13"/>
              <w:spacing w:before="16" w:line="282" w:lineRule="exact"/>
              <w:ind w:left="451" w:right="88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专业代码</w:t>
            </w:r>
          </w:p>
        </w:tc>
        <w:tc>
          <w:tcPr>
            <w:tcW w:w="2390" w:type="dxa"/>
            <w:noWrap w:val="0"/>
            <w:vAlign w:val="center"/>
          </w:tcPr>
          <w:p w14:paraId="73D15A7F">
            <w:pPr>
              <w:pStyle w:val="13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030105T</w:t>
            </w:r>
          </w:p>
        </w:tc>
        <w:tc>
          <w:tcPr>
            <w:tcW w:w="2391" w:type="dxa"/>
            <w:gridSpan w:val="2"/>
            <w:noWrap w:val="0"/>
            <w:vAlign w:val="center"/>
          </w:tcPr>
          <w:p w14:paraId="64CE9772">
            <w:pPr>
              <w:pStyle w:val="13"/>
              <w:spacing w:before="16" w:line="282" w:lineRule="exact"/>
              <w:ind w:left="488" w:leftChars="0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专业名称</w:t>
            </w:r>
          </w:p>
        </w:tc>
        <w:tc>
          <w:tcPr>
            <w:tcW w:w="2394" w:type="dxa"/>
            <w:noWrap w:val="0"/>
            <w:vAlign w:val="center"/>
          </w:tcPr>
          <w:p w14:paraId="328F273A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国际经贸规则</w:t>
            </w:r>
          </w:p>
        </w:tc>
      </w:tr>
      <w:tr w14:paraId="650D49EE">
        <w:trPr>
          <w:trHeight w:val="397" w:hRule="atLeast"/>
        </w:trPr>
        <w:tc>
          <w:tcPr>
            <w:tcW w:w="2393" w:type="dxa"/>
            <w:noWrap w:val="0"/>
            <w:vAlign w:val="center"/>
          </w:tcPr>
          <w:p w14:paraId="0FA1D6BE">
            <w:pPr>
              <w:pStyle w:val="13"/>
              <w:spacing w:before="16" w:line="285" w:lineRule="exact"/>
              <w:ind w:left="451" w:right="88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学位</w:t>
            </w:r>
          </w:p>
        </w:tc>
        <w:tc>
          <w:tcPr>
            <w:tcW w:w="2390" w:type="dxa"/>
            <w:noWrap w:val="0"/>
            <w:vAlign w:val="center"/>
          </w:tcPr>
          <w:p w14:paraId="32F46209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法学</w:t>
            </w:r>
          </w:p>
        </w:tc>
        <w:tc>
          <w:tcPr>
            <w:tcW w:w="2391" w:type="dxa"/>
            <w:gridSpan w:val="2"/>
            <w:noWrap w:val="0"/>
            <w:vAlign w:val="center"/>
          </w:tcPr>
          <w:p w14:paraId="4525E785">
            <w:pPr>
              <w:pStyle w:val="13"/>
              <w:spacing w:before="16" w:line="285" w:lineRule="exact"/>
              <w:ind w:left="488" w:leftChars="0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修业年限</w:t>
            </w:r>
          </w:p>
        </w:tc>
        <w:tc>
          <w:tcPr>
            <w:tcW w:w="2394" w:type="dxa"/>
            <w:noWrap w:val="0"/>
            <w:vAlign w:val="center"/>
          </w:tcPr>
          <w:p w14:paraId="5089C65D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4年</w:t>
            </w:r>
          </w:p>
        </w:tc>
      </w:tr>
      <w:tr w14:paraId="2A07664F">
        <w:trPr>
          <w:trHeight w:val="397" w:hRule="atLeast"/>
        </w:trPr>
        <w:tc>
          <w:tcPr>
            <w:tcW w:w="2393" w:type="dxa"/>
            <w:noWrap w:val="0"/>
            <w:vAlign w:val="center"/>
          </w:tcPr>
          <w:p w14:paraId="2E777F34">
            <w:pPr>
              <w:pStyle w:val="13"/>
              <w:spacing w:before="16" w:line="282" w:lineRule="exact"/>
              <w:ind w:left="451" w:right="88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专业类</w:t>
            </w:r>
          </w:p>
        </w:tc>
        <w:tc>
          <w:tcPr>
            <w:tcW w:w="2390" w:type="dxa"/>
            <w:noWrap w:val="0"/>
            <w:vAlign w:val="center"/>
          </w:tcPr>
          <w:p w14:paraId="17B0EC25">
            <w:pPr>
              <w:pStyle w:val="13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法学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类</w:t>
            </w:r>
          </w:p>
        </w:tc>
        <w:tc>
          <w:tcPr>
            <w:tcW w:w="2391" w:type="dxa"/>
            <w:gridSpan w:val="2"/>
            <w:noWrap w:val="0"/>
            <w:vAlign w:val="center"/>
          </w:tcPr>
          <w:p w14:paraId="13A8293A">
            <w:pPr>
              <w:pStyle w:val="13"/>
              <w:spacing w:before="16" w:line="282" w:lineRule="exact"/>
              <w:ind w:left="488" w:leftChars="0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专业类代码</w:t>
            </w:r>
          </w:p>
        </w:tc>
        <w:tc>
          <w:tcPr>
            <w:tcW w:w="2394" w:type="dxa"/>
            <w:noWrap w:val="0"/>
            <w:vAlign w:val="center"/>
          </w:tcPr>
          <w:p w14:paraId="67898CCC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0301</w:t>
            </w:r>
          </w:p>
        </w:tc>
      </w:tr>
      <w:tr w14:paraId="528D96A0">
        <w:trPr>
          <w:trHeight w:val="397" w:hRule="atLeast"/>
        </w:trPr>
        <w:tc>
          <w:tcPr>
            <w:tcW w:w="2393" w:type="dxa"/>
            <w:noWrap w:val="0"/>
            <w:vAlign w:val="center"/>
          </w:tcPr>
          <w:p w14:paraId="539CDF56">
            <w:pPr>
              <w:pStyle w:val="13"/>
              <w:spacing w:before="16" w:line="285" w:lineRule="exact"/>
              <w:ind w:left="451" w:right="88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门类</w:t>
            </w:r>
          </w:p>
        </w:tc>
        <w:tc>
          <w:tcPr>
            <w:tcW w:w="2390" w:type="dxa"/>
            <w:noWrap w:val="0"/>
            <w:vAlign w:val="center"/>
          </w:tcPr>
          <w:p w14:paraId="5BF38B60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法学</w:t>
            </w:r>
          </w:p>
        </w:tc>
        <w:tc>
          <w:tcPr>
            <w:tcW w:w="2391" w:type="dxa"/>
            <w:gridSpan w:val="2"/>
            <w:noWrap w:val="0"/>
            <w:vAlign w:val="center"/>
          </w:tcPr>
          <w:p w14:paraId="43050264">
            <w:pPr>
              <w:pStyle w:val="13"/>
              <w:spacing w:before="16" w:line="285" w:lineRule="exact"/>
              <w:ind w:left="488" w:leftChars="0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门类代码</w:t>
            </w:r>
          </w:p>
        </w:tc>
        <w:tc>
          <w:tcPr>
            <w:tcW w:w="2394" w:type="dxa"/>
            <w:noWrap w:val="0"/>
            <w:vAlign w:val="center"/>
          </w:tcPr>
          <w:p w14:paraId="3858EB15">
            <w:pPr>
              <w:pStyle w:val="13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03</w:t>
            </w:r>
          </w:p>
        </w:tc>
      </w:tr>
      <w:tr w14:paraId="03877B01">
        <w:trPr>
          <w:trHeight w:val="397" w:hRule="atLeast"/>
        </w:trPr>
        <w:tc>
          <w:tcPr>
            <w:tcW w:w="2393" w:type="dxa"/>
            <w:noWrap w:val="0"/>
            <w:vAlign w:val="center"/>
          </w:tcPr>
          <w:p w14:paraId="2154854E">
            <w:pPr>
              <w:pStyle w:val="13"/>
              <w:spacing w:before="16" w:line="282" w:lineRule="exact"/>
              <w:ind w:left="451" w:right="88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所在院系名称</w:t>
            </w:r>
          </w:p>
        </w:tc>
        <w:tc>
          <w:tcPr>
            <w:tcW w:w="7175" w:type="dxa"/>
            <w:gridSpan w:val="4"/>
            <w:noWrap w:val="0"/>
            <w:vAlign w:val="center"/>
          </w:tcPr>
          <w:p w14:paraId="1ABE2890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法学院</w:t>
            </w:r>
          </w:p>
        </w:tc>
      </w:tr>
      <w:tr w14:paraId="5FB65E1A">
        <w:trPr>
          <w:trHeight w:val="321" w:hRule="atLeast"/>
        </w:trPr>
        <w:tc>
          <w:tcPr>
            <w:tcW w:w="9568" w:type="dxa"/>
            <w:gridSpan w:val="5"/>
            <w:noWrap w:val="0"/>
            <w:vAlign w:val="top"/>
          </w:tcPr>
          <w:p w14:paraId="15AC7D96">
            <w:pPr>
              <w:pStyle w:val="13"/>
              <w:spacing w:before="16" w:line="285" w:lineRule="exact"/>
              <w:ind w:left="3803" w:right="3794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学校相近专业情况</w:t>
            </w:r>
          </w:p>
        </w:tc>
      </w:tr>
      <w:tr w14:paraId="63FD5A5E">
        <w:trPr>
          <w:trHeight w:val="638" w:hRule="atLeast"/>
        </w:trPr>
        <w:tc>
          <w:tcPr>
            <w:tcW w:w="2393" w:type="dxa"/>
            <w:noWrap w:val="0"/>
            <w:vAlign w:val="top"/>
          </w:tcPr>
          <w:p w14:paraId="63589A49">
            <w:pPr>
              <w:pStyle w:val="13"/>
              <w:spacing w:before="175"/>
              <w:ind w:left="95" w:right="86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相近专业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</w:rPr>
              <w:t>1</w:t>
            </w:r>
          </w:p>
        </w:tc>
        <w:tc>
          <w:tcPr>
            <w:tcW w:w="2390" w:type="dxa"/>
            <w:noWrap w:val="0"/>
            <w:vAlign w:val="top"/>
          </w:tcPr>
          <w:p w14:paraId="35F09C91">
            <w:pPr>
              <w:pStyle w:val="13"/>
              <w:spacing w:before="177"/>
              <w:ind w:left="212" w:right="207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法学</w:t>
            </w:r>
          </w:p>
        </w:tc>
        <w:tc>
          <w:tcPr>
            <w:tcW w:w="1986" w:type="dxa"/>
            <w:noWrap w:val="0"/>
            <w:vAlign w:val="top"/>
          </w:tcPr>
          <w:p w14:paraId="2A494373">
            <w:pPr>
              <w:pStyle w:val="13"/>
              <w:spacing w:before="177"/>
              <w:ind w:right="259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030101K</w:t>
            </w:r>
          </w:p>
        </w:tc>
        <w:tc>
          <w:tcPr>
            <w:tcW w:w="2799" w:type="dxa"/>
            <w:gridSpan w:val="2"/>
            <w:noWrap w:val="0"/>
            <w:vAlign w:val="top"/>
          </w:tcPr>
          <w:p w14:paraId="4C14A521">
            <w:pPr>
              <w:pStyle w:val="13"/>
              <w:spacing w:before="16"/>
              <w:ind w:left="32" w:right="19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该专业教师队伍情况</w:t>
            </w:r>
          </w:p>
          <w:p w14:paraId="5F4BDAB1">
            <w:pPr>
              <w:pStyle w:val="13"/>
              <w:spacing w:before="12" w:line="282" w:lineRule="exact"/>
              <w:ind w:left="90" w:right="19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（上传教师基本情况表）</w:t>
            </w:r>
          </w:p>
        </w:tc>
      </w:tr>
      <w:tr w14:paraId="3575AF47">
        <w:trPr>
          <w:trHeight w:val="640" w:hRule="atLeast"/>
        </w:trPr>
        <w:tc>
          <w:tcPr>
            <w:tcW w:w="2393" w:type="dxa"/>
            <w:noWrap w:val="0"/>
            <w:vAlign w:val="top"/>
          </w:tcPr>
          <w:p w14:paraId="7B62257F">
            <w:pPr>
              <w:pStyle w:val="13"/>
              <w:spacing w:before="177"/>
              <w:ind w:left="95" w:right="86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相近专业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</w:rPr>
              <w:t>2</w:t>
            </w:r>
          </w:p>
        </w:tc>
        <w:tc>
          <w:tcPr>
            <w:tcW w:w="2390" w:type="dxa"/>
            <w:noWrap w:val="0"/>
            <w:vAlign w:val="top"/>
          </w:tcPr>
          <w:p w14:paraId="6785BDBF">
            <w:pPr>
              <w:pStyle w:val="13"/>
              <w:spacing w:before="177"/>
              <w:ind w:left="212" w:right="207"/>
              <w:jc w:val="center"/>
              <w:rPr>
                <w:rFonts w:hint="eastAsia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986" w:type="dxa"/>
            <w:noWrap w:val="0"/>
            <w:vAlign w:val="top"/>
          </w:tcPr>
          <w:p w14:paraId="0212A4BA">
            <w:pPr>
              <w:pStyle w:val="13"/>
              <w:spacing w:before="177"/>
              <w:ind w:right="259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2799" w:type="dxa"/>
            <w:gridSpan w:val="2"/>
            <w:noWrap w:val="0"/>
            <w:vAlign w:val="top"/>
          </w:tcPr>
          <w:p w14:paraId="0AE3652C">
            <w:pPr>
              <w:pStyle w:val="13"/>
              <w:spacing w:before="19"/>
              <w:ind w:left="32" w:right="19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该专业教师队伍情况</w:t>
            </w:r>
          </w:p>
          <w:p w14:paraId="38FAF1A5">
            <w:pPr>
              <w:pStyle w:val="13"/>
              <w:spacing w:before="11" w:line="283" w:lineRule="exact"/>
              <w:ind w:left="90" w:right="19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（上传教师基本情况表）</w:t>
            </w:r>
          </w:p>
        </w:tc>
      </w:tr>
      <w:tr w14:paraId="4DC1CB7B">
        <w:trPr>
          <w:trHeight w:val="640" w:hRule="atLeast"/>
        </w:trPr>
        <w:tc>
          <w:tcPr>
            <w:tcW w:w="2393" w:type="dxa"/>
            <w:noWrap w:val="0"/>
            <w:vAlign w:val="top"/>
          </w:tcPr>
          <w:p w14:paraId="3C94E81C">
            <w:pPr>
              <w:pStyle w:val="13"/>
              <w:spacing w:before="177"/>
              <w:ind w:left="95" w:right="86"/>
              <w:jc w:val="center"/>
              <w:rPr>
                <w:rFonts w:ascii="Times New Roman" w:hAnsi="Times New Roman" w:eastAsia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相近专业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</w:rPr>
              <w:t>3</w:t>
            </w:r>
          </w:p>
        </w:tc>
        <w:tc>
          <w:tcPr>
            <w:tcW w:w="2390" w:type="dxa"/>
            <w:noWrap w:val="0"/>
            <w:vAlign w:val="top"/>
          </w:tcPr>
          <w:p w14:paraId="1CD398B0">
            <w:pPr>
              <w:pStyle w:val="13"/>
              <w:spacing w:before="177"/>
              <w:ind w:left="212" w:right="207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986" w:type="dxa"/>
            <w:noWrap w:val="0"/>
            <w:vAlign w:val="top"/>
          </w:tcPr>
          <w:p w14:paraId="16050735">
            <w:pPr>
              <w:pStyle w:val="13"/>
              <w:spacing w:before="177"/>
              <w:ind w:right="259"/>
              <w:jc w:val="center"/>
              <w:rPr>
                <w:rFonts w:ascii="Times New Roman" w:hAnsi="Times New Roman" w:cs="Times New Roman"/>
                <w:color w:val="auto"/>
                <w:sz w:val="24"/>
                <w:lang w:val="en-US"/>
              </w:rPr>
            </w:pPr>
          </w:p>
        </w:tc>
        <w:tc>
          <w:tcPr>
            <w:tcW w:w="2799" w:type="dxa"/>
            <w:gridSpan w:val="2"/>
            <w:noWrap w:val="0"/>
            <w:vAlign w:val="top"/>
          </w:tcPr>
          <w:p w14:paraId="70B77979">
            <w:pPr>
              <w:pStyle w:val="13"/>
              <w:spacing w:before="16"/>
              <w:ind w:left="32" w:right="19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该专业教师队伍情况</w:t>
            </w:r>
          </w:p>
          <w:p w14:paraId="4D768A99">
            <w:pPr>
              <w:pStyle w:val="13"/>
              <w:spacing w:before="14" w:line="282" w:lineRule="exact"/>
              <w:ind w:left="90" w:right="19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（上传教师基本情况表）</w:t>
            </w:r>
          </w:p>
        </w:tc>
      </w:tr>
      <w:tr w14:paraId="0ABACDF2">
        <w:trPr>
          <w:trHeight w:val="637" w:hRule="atLeast"/>
        </w:trPr>
        <w:tc>
          <w:tcPr>
            <w:tcW w:w="2393" w:type="dxa"/>
            <w:noWrap w:val="0"/>
            <w:vAlign w:val="top"/>
          </w:tcPr>
          <w:p w14:paraId="3C2D0764">
            <w:pPr>
              <w:pStyle w:val="13"/>
              <w:spacing w:before="16"/>
              <w:ind w:left="95" w:right="88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增设专业区分度</w:t>
            </w:r>
          </w:p>
          <w:p w14:paraId="0603364E">
            <w:pPr>
              <w:pStyle w:val="13"/>
              <w:spacing w:before="14"/>
              <w:ind w:left="95" w:right="88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  <w:noWrap w:val="0"/>
            <w:vAlign w:val="top"/>
          </w:tcPr>
          <w:p w14:paraId="15BB648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bookmarkStart w:id="1" w:name="_GoBack"/>
            <w:bookmarkEnd w:id="1"/>
          </w:p>
        </w:tc>
      </w:tr>
      <w:tr w14:paraId="6A370133">
        <w:trPr>
          <w:trHeight w:val="0" w:hRule="atLeast"/>
        </w:trPr>
        <w:tc>
          <w:tcPr>
            <w:tcW w:w="2393" w:type="dxa"/>
            <w:noWrap w:val="0"/>
            <w:vAlign w:val="top"/>
          </w:tcPr>
          <w:p w14:paraId="04ACE35F">
            <w:pPr>
              <w:pStyle w:val="13"/>
              <w:spacing w:before="16"/>
              <w:ind w:left="115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增设专业的基础要求</w:t>
            </w:r>
          </w:p>
          <w:p w14:paraId="4E255563">
            <w:pPr>
              <w:pStyle w:val="13"/>
              <w:spacing w:before="12"/>
              <w:ind w:left="115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  <w:noWrap w:val="0"/>
            <w:vAlign w:val="top"/>
          </w:tcPr>
          <w:p w14:paraId="558A3C7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2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</w:p>
        </w:tc>
      </w:tr>
    </w:tbl>
    <w:p w14:paraId="5891704B">
      <w:pPr>
        <w:rPr>
          <w:rFonts w:ascii="Times New Roman" w:hAnsi="Times New Roman" w:cs="Times New Roman"/>
          <w:color w:val="auto"/>
        </w:rPr>
      </w:pPr>
    </w:p>
    <w:p w14:paraId="5992447E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3.申报专业人才需求情况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5"/>
        <w:gridCol w:w="2405"/>
        <w:gridCol w:w="6055"/>
        <w:gridCol w:w="570"/>
      </w:tblGrid>
      <w:tr w14:paraId="26A11705">
        <w:trPr>
          <w:trHeight w:val="0" w:hRule="atLeast"/>
        </w:trPr>
        <w:tc>
          <w:tcPr>
            <w:tcW w:w="3180" w:type="dxa"/>
            <w:gridSpan w:val="2"/>
            <w:tcBorders>
              <w:bottom w:val="single" w:color="000000" w:sz="6" w:space="0"/>
              <w:right w:val="single" w:color="000000" w:sz="6" w:space="0"/>
            </w:tcBorders>
            <w:noWrap w:val="0"/>
            <w:vAlign w:val="top"/>
          </w:tcPr>
          <w:p w14:paraId="2C8309DA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before="122"/>
              <w:ind w:left="388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申报专业主要就业领域</w:t>
            </w:r>
          </w:p>
        </w:tc>
        <w:tc>
          <w:tcPr>
            <w:tcW w:w="6625" w:type="dxa"/>
            <w:gridSpan w:val="2"/>
            <w:tcBorders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76E969D4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政府与公共机构、司法机关、涉外企业、涉外法律服务机构、国际组织、学术研究与教育领域</w:t>
            </w:r>
          </w:p>
        </w:tc>
      </w:tr>
      <w:tr w14:paraId="353FC7C3">
        <w:trPr>
          <w:trHeight w:val="0" w:hRule="atLeast"/>
        </w:trPr>
        <w:tc>
          <w:tcPr>
            <w:tcW w:w="9805" w:type="dxa"/>
            <w:gridSpan w:val="4"/>
            <w:tcBorders>
              <w:top w:val="single" w:color="000000" w:sz="6" w:space="0"/>
              <w:bottom w:val="single" w:color="000000" w:sz="6" w:space="0"/>
            </w:tcBorders>
            <w:noWrap w:val="0"/>
            <w:vAlign w:val="top"/>
          </w:tcPr>
          <w:p w14:paraId="43D00581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07" w:right="51"/>
              <w:textAlignment w:val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  <w:p w14:paraId="6017B364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107" w:right="51"/>
              <w:textAlignment w:val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1B1E06B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51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新疆财经大学设立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lang w:eastAsia="zh-CN"/>
              </w:rPr>
              <w:t>国际经贸规则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本科专业，是贯彻“统筹推进国内法治和涉外法治” 指示精神的实践，更是服务国家向西开放战略、发挥丝绸之路经济带核心区优势、填补区域涉外法治人才短板的重要举措。通过构建“法律+经贸+区域研究”培养体系，该专业将成为中亚区域涉外法治人才“孵化器”，助力新疆从“通道经济”向“规则经济”转型，为我国在中亚经贸圈的法治话语权提升提供支撑。​</w:t>
            </w:r>
          </w:p>
          <w:p w14:paraId="77CDAC16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51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新疆作为中国与中亚、南亚、欧洲经贸往来的枢纽，其涉外法治人才培养关乎西部开放大局。随着中国—中亚峰会机制深化、中国（新疆）自由贸易试验区建设提速及RCEP规则落地，跨境贸易、能源合作等领域对国际法人才需求爆发式增长。当前新疆涉外法治人才年缺口大，本地高校年培养规模不足百人，供需矛盾突出，岗位需求集中在四大领域：​</w:t>
            </w:r>
          </w:p>
          <w:p w14:paraId="344DA3A8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51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一是跨境经贸法律实务领域。2023年新疆对中亚五国进出口总值超3600亿元，跨境电商、边境贸易规模年均增长超30%，催生大量法律需求。企业急需精通国际商事仲裁、WTO规则的人才，处理跨境合同纠纷、反倾销调查及能源项目合规等事务，为经贸往来筑牢法治防线。​</w:t>
            </w:r>
          </w:p>
          <w:p w14:paraId="082420F7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51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二是自贸区规则衔接领域。新疆自贸区聚焦数字经济、国际物流等产业，亟需熟悉RCEP、CPTPP 及中亚自贸协定的法律人才。地方政府、海关等机构年均新增规则分析师、政策咨询师岗位约200个，具备“法律+国际贸易”复合背景的毕业生缺口达70%，人才补充将加速自贸区与国际规则对接。​</w:t>
            </w:r>
          </w:p>
          <w:p w14:paraId="1A1429B1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51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三是涉外金融法律风控领域。新疆跨境人民币结算规模突破6000亿元，中亚能源项目融资、绿色债券发行等业务激增，金融机构需法律专员处理国际融资协议、跨境担保及反洗钱合规事务。中国进出口银行新疆分行等机构年需求约150人，但既懂《国际融资租赁公约》又熟悉中亚金融监管规则的从业者稀缺，人才培养迫在眉睫。​</w:t>
            </w:r>
          </w:p>
          <w:p w14:paraId="2128A967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51" w:firstLine="48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四是国际组织与区域治理领域。上海合作组织、亚投行等机构的中亚项目办公室及中国—中亚司法合作基地，需法律分析师监测投资政策、构建争端解决机制，年需求约100人；高校智库需研究人员聚焦“数字丝绸之路规则”等课题，缺口约50人，专业人才将为区域治理提供智力支持。​</w:t>
            </w:r>
          </w:p>
          <w:p w14:paraId="0F451D14">
            <w:pPr>
              <w:pStyle w:val="13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51"/>
              <w:jc w:val="left"/>
              <w:textAlignment w:val="auto"/>
              <w:rPr>
                <w:rFonts w:ascii="黑体" w:hAnsi="黑体" w:eastAsia="黑体" w:cs="Times New Roman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新疆财经大学依托“法学+财经”学科优势，培养掌握国际商法、跨境投融资规则及中亚法律体系的复合型人才，可精准填补年均80人的岗位缺口，为新疆打造“亚欧黄金通道”提供法治支撑，服务国家向西开放战略实施。</w:t>
            </w:r>
          </w:p>
        </w:tc>
      </w:tr>
      <w:tr w14:paraId="7D9CBA8A">
        <w:trPr>
          <w:trHeight w:val="0" w:hRule="atLeast"/>
        </w:trPr>
        <w:tc>
          <w:tcPr>
            <w:tcW w:w="775" w:type="dxa"/>
            <w:vMerge w:val="restart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C337CFA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申报专业人才需求调研情况</w:t>
            </w:r>
          </w:p>
          <w:p w14:paraId="560FC295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（可上传合作办学协议等）</w:t>
            </w: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6A7C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年度计划招生人数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585D4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80</w:t>
            </w:r>
          </w:p>
        </w:tc>
      </w:tr>
      <w:tr w14:paraId="4A4C1AAF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769B9270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FF97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预计升学人数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6CB441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16</w:t>
            </w:r>
          </w:p>
        </w:tc>
      </w:tr>
      <w:tr w14:paraId="60195FDA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2F55F79B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1C62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预计就业人数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16EF8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64</w:t>
            </w:r>
          </w:p>
        </w:tc>
      </w:tr>
      <w:tr w14:paraId="21E9A9CE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1F7777C3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040C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其中：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4EACE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/>
                <w:color w:val="auto"/>
                <w:sz w:val="24"/>
                <w:szCs w:val="24"/>
              </w:rPr>
            </w:pPr>
          </w:p>
        </w:tc>
      </w:tr>
      <w:tr w14:paraId="0BA8D400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223F96A5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5E4CA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北京国浩（乌鲁木齐）</w:t>
            </w:r>
            <w:r>
              <w:rPr>
                <w:rFonts w:hint="eastAsia"/>
                <w:color w:val="auto"/>
                <w:sz w:val="24"/>
                <w:szCs w:val="24"/>
              </w:rPr>
              <w:t>律师事务所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1C235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3A1153FA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55D76BDA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1EC4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北京盈科律师事务所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3A342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63022C24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6CADB725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DDBF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新疆聚广律师事务所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4E5FF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75016FB2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1133353A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4FBF8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北京金杜（乌鲁木齐）律师事务所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6121A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20E521EC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769B99D2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E901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上海锦天城（霍尔果斯）办公室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48AAB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35F4E3BA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10514B2F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074DC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新疆元正盛业律师事务所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/>
                <w:color w:val="auto"/>
                <w:sz w:val="24"/>
                <w:szCs w:val="24"/>
              </w:rPr>
              <w:t>中亚投资法律部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00513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33AEECD4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7AB5851A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3376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新疆资本律师事务所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/>
                <w:color w:val="auto"/>
                <w:sz w:val="24"/>
                <w:szCs w:val="24"/>
              </w:rPr>
              <w:t>跨境电商合规中心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11A19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723021BB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2BE0A0B6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3A59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中国国际经济贸易仲裁委员会（CIETAC）丝绸之路仲裁中心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398B3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0E5A516C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01984A0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22FCB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哈萨克斯坦国际仲裁中心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法律服务机构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4364C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6897319B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2153BED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06216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中石化西北油田分公司（参与土库曼斯坦天然气项目法律合规）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能源与基建央企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297C8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44D23307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326F1915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F779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中国交通建设集团新疆总部（中吉乌铁路项目法务团队）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能源与基建央企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14AA1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1C52A36D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2D76D06B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74BE9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新疆中亚跨境人民币结算中心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跨境金融平台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6910B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118051BD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4AF0097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442D8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跨境金融区块链服务平台（试点霍尔果斯）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跨境金融平台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33BA1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02B58FEB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48E788C0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74B0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阿里巴巴集团新疆跨境电商服务中心（处理中亚消费者数据隐私合规）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数字经济企业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4EDDF8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23F736B9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7D4BB7FB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D7EB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新疆中泰跨境供应链公司（中亚农产品进口标准法律咨询）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数字经济企业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6DFDD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012CC732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3EE7B6D0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71EF9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新疆商务厅法规处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地方涉外部门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75882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30E7265E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 w14:paraId="2E343F8B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8303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乌鲁木齐海关缉私局（打击中亚走私法律协作）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地方涉外部门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4CE5E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23E5DE5C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top"/>
          </w:tcPr>
          <w:p w14:paraId="1B42A61E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0C0D7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喀什经济开发区管委会政策研究室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地方涉外部门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noWrap w:val="0"/>
            <w:vAlign w:val="center"/>
          </w:tcPr>
          <w:p w14:paraId="74202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</w:tr>
      <w:tr w14:paraId="7DBE515D">
        <w:trPr>
          <w:trHeight w:val="0" w:hRule="atLeast"/>
        </w:trPr>
        <w:tc>
          <w:tcPr>
            <w:tcW w:w="775" w:type="dxa"/>
            <w:vMerge w:val="continue"/>
            <w:tcBorders>
              <w:right w:val="single" w:color="000000" w:sz="6" w:space="0"/>
            </w:tcBorders>
            <w:noWrap w:val="0"/>
            <w:vAlign w:val="top"/>
          </w:tcPr>
          <w:p w14:paraId="7DF4DE6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51F2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亚洲开发银行中亚区域经济合作机制（CAREC）新疆联络处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区域性国际组织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</w:tcBorders>
            <w:noWrap w:val="0"/>
            <w:vAlign w:val="center"/>
          </w:tcPr>
          <w:p w14:paraId="21FCD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1A402F43">
        <w:trPr>
          <w:trHeight w:val="0" w:hRule="atLeast"/>
        </w:trPr>
        <w:tc>
          <w:tcPr>
            <w:tcW w:w="775" w:type="dxa"/>
          </w:tcPr>
          <w:p w14:paraId="3E918563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460" w:type="dxa"/>
            <w:gridSpan w:val="2"/>
            <w:shd w:val="clear" w:color="auto" w:fill="auto"/>
            <w:vAlign w:val="center"/>
          </w:tcPr>
          <w:p w14:paraId="39B88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欧亚经济联盟（EAEU）驻华商务代表处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</w:rPr>
              <w:t>区域性国际组织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70" w:type="dxa"/>
            <w:vAlign w:val="center"/>
          </w:tcPr>
          <w:p w14:paraId="65175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center"/>
              <w:rPr>
                <w:rFonts w:hint="eastAsia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</w:tbl>
    <w:p w14:paraId="73D67AEE">
      <w:pPr>
        <w:pStyle w:val="2"/>
        <w:rPr>
          <w:rFonts w:ascii="Times New Roman" w:hAnsi="Times New Roman" w:cs="Times New Roman"/>
          <w:color w:val="auto"/>
        </w:rPr>
      </w:pPr>
    </w:p>
    <w:p w14:paraId="626BCB48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4.教师及课程基本情况表</w:t>
      </w:r>
    </w:p>
    <w:p w14:paraId="42885708">
      <w:pPr>
        <w:pStyle w:val="4"/>
        <w:rPr>
          <w:rFonts w:ascii="Times New Roman" w:hAnsi="Times New Roman" w:cs="Times New Roman"/>
          <w:color w:val="auto"/>
        </w:rPr>
      </w:pPr>
      <w:r>
        <w:rPr>
          <w:rFonts w:hint="eastAsia" w:ascii="宋体" w:hAnsi="宋体" w:eastAsia="宋体" w:cs="宋体"/>
          <w:color w:val="auto"/>
        </w:rPr>
        <w:t>4.1教师及开课情况汇总表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（以下统计数据由系统生成）</w:t>
      </w:r>
    </w:p>
    <w:tbl>
      <w:tblPr>
        <w:tblStyle w:val="11"/>
        <w:tblpPr w:leftFromText="180" w:rightFromText="180" w:vertAnchor="text" w:horzAnchor="page" w:tblpX="1307" w:tblpY="112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7"/>
        <w:gridCol w:w="3227"/>
      </w:tblGrid>
      <w:tr w14:paraId="72CAE490">
        <w:trPr>
          <w:trHeight w:val="543" w:hRule="atLeast"/>
        </w:trPr>
        <w:tc>
          <w:tcPr>
            <w:tcW w:w="6347" w:type="dxa"/>
            <w:noWrap w:val="0"/>
            <w:vAlign w:val="center"/>
          </w:tcPr>
          <w:p w14:paraId="08F9E0C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专任教师总数</w:t>
            </w:r>
          </w:p>
        </w:tc>
        <w:tc>
          <w:tcPr>
            <w:tcW w:w="3227" w:type="dxa"/>
            <w:noWrap w:val="0"/>
            <w:vAlign w:val="center"/>
          </w:tcPr>
          <w:p w14:paraId="3C113F5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eastAsia"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人</w:t>
            </w:r>
          </w:p>
        </w:tc>
      </w:tr>
      <w:tr w14:paraId="4E594B0D">
        <w:trPr>
          <w:trHeight w:val="590" w:hRule="atLeast"/>
        </w:trPr>
        <w:tc>
          <w:tcPr>
            <w:tcW w:w="6347" w:type="dxa"/>
            <w:noWrap w:val="0"/>
            <w:vAlign w:val="center"/>
          </w:tcPr>
          <w:p w14:paraId="4BA5C86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  <w:noWrap w:val="0"/>
            <w:vAlign w:val="center"/>
          </w:tcPr>
          <w:p w14:paraId="1F7B6DE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6/28.57%</w:t>
            </w:r>
          </w:p>
        </w:tc>
      </w:tr>
      <w:tr w14:paraId="1EC25279">
        <w:trPr>
          <w:trHeight w:val="515" w:hRule="atLeast"/>
        </w:trPr>
        <w:tc>
          <w:tcPr>
            <w:tcW w:w="6347" w:type="dxa"/>
            <w:noWrap w:val="0"/>
            <w:vAlign w:val="center"/>
          </w:tcPr>
          <w:p w14:paraId="1039C11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具有副教授及以上（含其他副高级）职称教师数及比例</w:t>
            </w:r>
          </w:p>
        </w:tc>
        <w:tc>
          <w:tcPr>
            <w:tcW w:w="3227" w:type="dxa"/>
            <w:noWrap w:val="0"/>
            <w:vAlign w:val="center"/>
          </w:tcPr>
          <w:p w14:paraId="5B5C441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15/71.43%</w:t>
            </w:r>
          </w:p>
        </w:tc>
      </w:tr>
      <w:tr w14:paraId="2E3DD07C">
        <w:trPr>
          <w:trHeight w:val="400" w:hRule="atLeast"/>
        </w:trPr>
        <w:tc>
          <w:tcPr>
            <w:tcW w:w="6347" w:type="dxa"/>
            <w:noWrap w:val="0"/>
            <w:vAlign w:val="center"/>
          </w:tcPr>
          <w:p w14:paraId="16D9183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具有硕士及以上学位教师数及比例</w:t>
            </w:r>
          </w:p>
        </w:tc>
        <w:tc>
          <w:tcPr>
            <w:tcW w:w="3227" w:type="dxa"/>
            <w:noWrap w:val="0"/>
            <w:vAlign w:val="center"/>
          </w:tcPr>
          <w:p w14:paraId="5EF5F65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21/100%</w:t>
            </w:r>
          </w:p>
        </w:tc>
      </w:tr>
      <w:tr w14:paraId="58F1D36C">
        <w:trPr>
          <w:trHeight w:val="400" w:hRule="atLeast"/>
        </w:trPr>
        <w:tc>
          <w:tcPr>
            <w:tcW w:w="6347" w:type="dxa"/>
            <w:noWrap w:val="0"/>
            <w:vAlign w:val="center"/>
          </w:tcPr>
          <w:p w14:paraId="29D7DF9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具有博士学位教师数及比例</w:t>
            </w:r>
          </w:p>
        </w:tc>
        <w:tc>
          <w:tcPr>
            <w:tcW w:w="3227" w:type="dxa"/>
            <w:noWrap w:val="0"/>
            <w:vAlign w:val="center"/>
          </w:tcPr>
          <w:p w14:paraId="197CB03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17/81.00%</w:t>
            </w:r>
          </w:p>
        </w:tc>
      </w:tr>
      <w:tr w14:paraId="7EE3A292">
        <w:trPr>
          <w:trHeight w:val="400" w:hRule="atLeast"/>
        </w:trPr>
        <w:tc>
          <w:tcPr>
            <w:tcW w:w="6347" w:type="dxa"/>
            <w:noWrap w:val="0"/>
            <w:vAlign w:val="center"/>
          </w:tcPr>
          <w:p w14:paraId="0CE15D4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</w:rPr>
              <w:t xml:space="preserve">35 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岁及以下青年教师数及比例</w:t>
            </w:r>
          </w:p>
        </w:tc>
        <w:tc>
          <w:tcPr>
            <w:tcW w:w="3227" w:type="dxa"/>
            <w:noWrap w:val="0"/>
            <w:vAlign w:val="center"/>
          </w:tcPr>
          <w:p w14:paraId="444C3D9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1/4.80%</w:t>
            </w:r>
          </w:p>
        </w:tc>
      </w:tr>
      <w:tr w14:paraId="24ABE1FF">
        <w:trPr>
          <w:trHeight w:val="398" w:hRule="atLeast"/>
        </w:trPr>
        <w:tc>
          <w:tcPr>
            <w:tcW w:w="6347" w:type="dxa"/>
            <w:noWrap w:val="0"/>
            <w:vAlign w:val="center"/>
          </w:tcPr>
          <w:p w14:paraId="3B143E9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</w:rPr>
              <w:t xml:space="preserve">36-55 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岁教师数及比例</w:t>
            </w:r>
          </w:p>
        </w:tc>
        <w:tc>
          <w:tcPr>
            <w:tcW w:w="3227" w:type="dxa"/>
            <w:noWrap w:val="0"/>
            <w:vAlign w:val="center"/>
          </w:tcPr>
          <w:p w14:paraId="32DEA55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20/95.20%</w:t>
            </w:r>
          </w:p>
        </w:tc>
      </w:tr>
      <w:tr w14:paraId="3E9253A5">
        <w:trPr>
          <w:trHeight w:val="400" w:hRule="atLeast"/>
        </w:trPr>
        <w:tc>
          <w:tcPr>
            <w:tcW w:w="6347" w:type="dxa"/>
            <w:noWrap w:val="0"/>
            <w:vAlign w:val="center"/>
          </w:tcPr>
          <w:p w14:paraId="0148166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兼职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</w:rPr>
              <w:t>/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专职教师比例</w:t>
            </w:r>
          </w:p>
        </w:tc>
        <w:tc>
          <w:tcPr>
            <w:tcW w:w="3227" w:type="dxa"/>
            <w:noWrap w:val="0"/>
            <w:vAlign w:val="center"/>
          </w:tcPr>
          <w:p w14:paraId="6D65369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4:17</w:t>
            </w:r>
          </w:p>
        </w:tc>
      </w:tr>
      <w:tr w14:paraId="3E6664BE">
        <w:trPr>
          <w:trHeight w:val="400" w:hRule="atLeast"/>
        </w:trPr>
        <w:tc>
          <w:tcPr>
            <w:tcW w:w="6347" w:type="dxa"/>
            <w:noWrap w:val="0"/>
            <w:vAlign w:val="center"/>
          </w:tcPr>
          <w:p w14:paraId="4086320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专业核心课程门数</w:t>
            </w:r>
          </w:p>
        </w:tc>
        <w:tc>
          <w:tcPr>
            <w:tcW w:w="3227" w:type="dxa"/>
            <w:noWrap w:val="0"/>
            <w:vAlign w:val="center"/>
          </w:tcPr>
          <w:p w14:paraId="704F7A5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13</w:t>
            </w:r>
          </w:p>
        </w:tc>
      </w:tr>
      <w:tr w14:paraId="57192474">
        <w:trPr>
          <w:trHeight w:val="400" w:hRule="atLeast"/>
        </w:trPr>
        <w:tc>
          <w:tcPr>
            <w:tcW w:w="6347" w:type="dxa"/>
            <w:noWrap w:val="0"/>
            <w:vAlign w:val="center"/>
          </w:tcPr>
          <w:p w14:paraId="18736F4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专业核心课程任课教师数</w:t>
            </w:r>
          </w:p>
        </w:tc>
        <w:tc>
          <w:tcPr>
            <w:tcW w:w="3227" w:type="dxa"/>
            <w:noWrap w:val="0"/>
            <w:vAlign w:val="center"/>
          </w:tcPr>
          <w:p w14:paraId="523DBFF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21</w:t>
            </w:r>
          </w:p>
        </w:tc>
      </w:tr>
    </w:tbl>
    <w:p w14:paraId="116A4D55">
      <w:pPr>
        <w:spacing w:before="4" w:after="1"/>
        <w:rPr>
          <w:rFonts w:ascii="Times New Roman" w:hAnsi="Times New Roman" w:cs="Times New Roman"/>
          <w:color w:val="auto"/>
          <w:sz w:val="10"/>
        </w:rPr>
      </w:pPr>
    </w:p>
    <w:p w14:paraId="571F8FAB">
      <w:pPr>
        <w:spacing w:before="6"/>
        <w:rPr>
          <w:rFonts w:ascii="Times New Roman" w:hAnsi="Times New Roman" w:cs="Times New Roman"/>
          <w:color w:val="auto"/>
        </w:rPr>
      </w:pPr>
    </w:p>
    <w:p w14:paraId="5F56CE87">
      <w:pPr>
        <w:pStyle w:val="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4.2教师基本情况表</w:t>
      </w:r>
    </w:p>
    <w:p w14:paraId="1E5C81E6">
      <w:pPr>
        <w:spacing w:before="4"/>
        <w:rPr>
          <w:rFonts w:ascii="Times New Roman" w:hAnsi="Times New Roman" w:cs="Times New Roman"/>
          <w:color w:val="auto"/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9"/>
        <w:gridCol w:w="487"/>
        <w:gridCol w:w="914"/>
        <w:gridCol w:w="1167"/>
        <w:gridCol w:w="1000"/>
        <w:gridCol w:w="1197"/>
        <w:gridCol w:w="1225"/>
        <w:gridCol w:w="1197"/>
        <w:gridCol w:w="764"/>
        <w:gridCol w:w="834"/>
      </w:tblGrid>
      <w:tr w14:paraId="57B354B4">
        <w:trPr>
          <w:trHeight w:val="801" w:hRule="atLeast"/>
        </w:trPr>
        <w:tc>
          <w:tcPr>
            <w:tcW w:w="859" w:type="dxa"/>
            <w:noWrap w:val="0"/>
            <w:vAlign w:val="center"/>
          </w:tcPr>
          <w:p w14:paraId="77BC4BD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</w:t>
            </w:r>
          </w:p>
          <w:p w14:paraId="04D3832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名</w:t>
            </w:r>
          </w:p>
        </w:tc>
        <w:tc>
          <w:tcPr>
            <w:tcW w:w="487" w:type="dxa"/>
            <w:noWrap w:val="0"/>
            <w:vAlign w:val="center"/>
          </w:tcPr>
          <w:p w14:paraId="6DD6343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</w:t>
            </w:r>
          </w:p>
          <w:p w14:paraId="5757E5F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别</w:t>
            </w:r>
          </w:p>
        </w:tc>
        <w:tc>
          <w:tcPr>
            <w:tcW w:w="914" w:type="dxa"/>
            <w:noWrap w:val="0"/>
            <w:vAlign w:val="center"/>
          </w:tcPr>
          <w:p w14:paraId="0018BF8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出生</w:t>
            </w:r>
          </w:p>
          <w:p w14:paraId="61269C1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年月</w:t>
            </w:r>
          </w:p>
        </w:tc>
        <w:tc>
          <w:tcPr>
            <w:tcW w:w="1167" w:type="dxa"/>
            <w:noWrap w:val="0"/>
            <w:vAlign w:val="center"/>
          </w:tcPr>
          <w:p w14:paraId="2E1BF25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拟授</w:t>
            </w:r>
          </w:p>
          <w:p w14:paraId="1088504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课程</w:t>
            </w:r>
          </w:p>
        </w:tc>
        <w:tc>
          <w:tcPr>
            <w:tcW w:w="1000" w:type="dxa"/>
            <w:noWrap w:val="0"/>
            <w:vAlign w:val="center"/>
          </w:tcPr>
          <w:p w14:paraId="54DD4FC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专业技</w:t>
            </w:r>
          </w:p>
          <w:p w14:paraId="24241EB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术职务</w:t>
            </w:r>
          </w:p>
        </w:tc>
        <w:tc>
          <w:tcPr>
            <w:tcW w:w="1197" w:type="dxa"/>
            <w:noWrap w:val="0"/>
            <w:vAlign w:val="center"/>
          </w:tcPr>
          <w:p w14:paraId="6E410F2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最后学历</w:t>
            </w:r>
          </w:p>
          <w:p w14:paraId="55E3BFC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毕业学校</w:t>
            </w:r>
          </w:p>
        </w:tc>
        <w:tc>
          <w:tcPr>
            <w:tcW w:w="1225" w:type="dxa"/>
            <w:noWrap w:val="0"/>
            <w:vAlign w:val="center"/>
          </w:tcPr>
          <w:p w14:paraId="45951AE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最后学历</w:t>
            </w:r>
          </w:p>
          <w:p w14:paraId="3A1C63E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毕业专业</w:t>
            </w:r>
          </w:p>
        </w:tc>
        <w:tc>
          <w:tcPr>
            <w:tcW w:w="1197" w:type="dxa"/>
            <w:noWrap w:val="0"/>
            <w:vAlign w:val="center"/>
          </w:tcPr>
          <w:p w14:paraId="3948828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最后学历</w:t>
            </w:r>
          </w:p>
          <w:p w14:paraId="3BAA0C9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毕业学位</w:t>
            </w:r>
          </w:p>
        </w:tc>
        <w:tc>
          <w:tcPr>
            <w:tcW w:w="764" w:type="dxa"/>
            <w:noWrap w:val="0"/>
            <w:vAlign w:val="center"/>
          </w:tcPr>
          <w:p w14:paraId="7161A66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研究</w:t>
            </w:r>
          </w:p>
          <w:p w14:paraId="55A93B6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领域</w:t>
            </w:r>
          </w:p>
        </w:tc>
        <w:tc>
          <w:tcPr>
            <w:tcW w:w="834" w:type="dxa"/>
            <w:noWrap w:val="0"/>
            <w:vAlign w:val="center"/>
          </w:tcPr>
          <w:p w14:paraId="289DD49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专职</w:t>
            </w:r>
          </w:p>
          <w:p w14:paraId="1E8C128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beforeLines="50" w:after="0" w:afterLines="50"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/兼职</w:t>
            </w:r>
          </w:p>
        </w:tc>
      </w:tr>
      <w:tr w14:paraId="342AD16D">
        <w:trPr>
          <w:trHeight w:val="887" w:hRule="atLeast"/>
        </w:trPr>
        <w:tc>
          <w:tcPr>
            <w:tcW w:w="859" w:type="dxa"/>
            <w:noWrap w:val="0"/>
            <w:vAlign w:val="center"/>
          </w:tcPr>
          <w:p w14:paraId="761A61F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沈子华</w:t>
            </w:r>
          </w:p>
        </w:tc>
        <w:tc>
          <w:tcPr>
            <w:tcW w:w="487" w:type="dxa"/>
            <w:noWrap w:val="0"/>
            <w:vAlign w:val="center"/>
          </w:tcPr>
          <w:p w14:paraId="60A1A81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56058DF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1977.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167" w:type="dxa"/>
            <w:noWrap w:val="0"/>
            <w:vAlign w:val="center"/>
          </w:tcPr>
          <w:p w14:paraId="5518778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国际法</w:t>
            </w:r>
          </w:p>
        </w:tc>
        <w:tc>
          <w:tcPr>
            <w:tcW w:w="1000" w:type="dxa"/>
            <w:noWrap w:val="0"/>
            <w:vAlign w:val="center"/>
          </w:tcPr>
          <w:p w14:paraId="70DFD92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教授</w:t>
            </w:r>
          </w:p>
        </w:tc>
        <w:tc>
          <w:tcPr>
            <w:tcW w:w="1197" w:type="dxa"/>
            <w:noWrap w:val="0"/>
            <w:vAlign w:val="center"/>
          </w:tcPr>
          <w:p w14:paraId="2A0182E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7F34706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宪法与行政法学</w:t>
            </w:r>
          </w:p>
        </w:tc>
        <w:tc>
          <w:tcPr>
            <w:tcW w:w="1197" w:type="dxa"/>
            <w:noWrap w:val="0"/>
            <w:vAlign w:val="center"/>
          </w:tcPr>
          <w:p w14:paraId="2E4AC21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1D9E812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宪法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国际法</w:t>
            </w:r>
          </w:p>
        </w:tc>
        <w:tc>
          <w:tcPr>
            <w:tcW w:w="834" w:type="dxa"/>
            <w:noWrap w:val="0"/>
            <w:vAlign w:val="center"/>
          </w:tcPr>
          <w:p w14:paraId="3131279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专职</w:t>
            </w:r>
          </w:p>
        </w:tc>
      </w:tr>
      <w:tr w14:paraId="788BA591">
        <w:trPr>
          <w:trHeight w:val="774" w:hRule="atLeast"/>
        </w:trPr>
        <w:tc>
          <w:tcPr>
            <w:tcW w:w="859" w:type="dxa"/>
            <w:noWrap w:val="0"/>
            <w:vAlign w:val="center"/>
          </w:tcPr>
          <w:p w14:paraId="00BDF62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马远</w:t>
            </w:r>
          </w:p>
        </w:tc>
        <w:tc>
          <w:tcPr>
            <w:tcW w:w="487" w:type="dxa"/>
            <w:noWrap w:val="0"/>
            <w:vAlign w:val="center"/>
          </w:tcPr>
          <w:p w14:paraId="7A9AE01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914" w:type="dxa"/>
            <w:noWrap w:val="0"/>
            <w:vAlign w:val="center"/>
          </w:tcPr>
          <w:p w14:paraId="5BA16EE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1983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06</w:t>
            </w:r>
          </w:p>
        </w:tc>
        <w:tc>
          <w:tcPr>
            <w:tcW w:w="1167" w:type="dxa"/>
            <w:noWrap w:val="0"/>
            <w:vAlign w:val="center"/>
          </w:tcPr>
          <w:p w14:paraId="4248193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1000" w:type="dxa"/>
            <w:noWrap w:val="0"/>
            <w:vAlign w:val="center"/>
          </w:tcPr>
          <w:p w14:paraId="43E9748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197" w:type="dxa"/>
            <w:noWrap w:val="0"/>
            <w:vAlign w:val="center"/>
          </w:tcPr>
          <w:p w14:paraId="57D56AC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石河子大学</w:t>
            </w:r>
          </w:p>
        </w:tc>
        <w:tc>
          <w:tcPr>
            <w:tcW w:w="1225" w:type="dxa"/>
            <w:noWrap w:val="0"/>
            <w:vAlign w:val="center"/>
          </w:tcPr>
          <w:p w14:paraId="6F25F77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</w:t>
            </w:r>
          </w:p>
        </w:tc>
        <w:tc>
          <w:tcPr>
            <w:tcW w:w="1197" w:type="dxa"/>
            <w:noWrap w:val="0"/>
            <w:vAlign w:val="center"/>
          </w:tcPr>
          <w:p w14:paraId="1B28C41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经济学博士</w:t>
            </w:r>
          </w:p>
        </w:tc>
        <w:tc>
          <w:tcPr>
            <w:tcW w:w="764" w:type="dxa"/>
            <w:noWrap w:val="0"/>
            <w:vAlign w:val="center"/>
          </w:tcPr>
          <w:p w14:paraId="234DE0E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国际贸易</w:t>
            </w:r>
          </w:p>
        </w:tc>
        <w:tc>
          <w:tcPr>
            <w:tcW w:w="834" w:type="dxa"/>
            <w:noWrap w:val="0"/>
            <w:vAlign w:val="center"/>
          </w:tcPr>
          <w:p w14:paraId="084DDAB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78B770EF">
        <w:trPr>
          <w:trHeight w:val="1312" w:hRule="atLeast"/>
        </w:trPr>
        <w:tc>
          <w:tcPr>
            <w:tcW w:w="859" w:type="dxa"/>
            <w:noWrap w:val="0"/>
            <w:vAlign w:val="center"/>
          </w:tcPr>
          <w:p w14:paraId="004C1E6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段鸿斌</w:t>
            </w:r>
          </w:p>
        </w:tc>
        <w:tc>
          <w:tcPr>
            <w:tcW w:w="487" w:type="dxa"/>
            <w:noWrap w:val="0"/>
            <w:vAlign w:val="center"/>
          </w:tcPr>
          <w:p w14:paraId="683AFFC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914" w:type="dxa"/>
            <w:noWrap w:val="0"/>
            <w:vAlign w:val="center"/>
          </w:tcPr>
          <w:p w14:paraId="4270DB7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1973.02</w:t>
            </w:r>
          </w:p>
        </w:tc>
        <w:tc>
          <w:tcPr>
            <w:tcW w:w="1167" w:type="dxa"/>
            <w:noWrap w:val="0"/>
            <w:vAlign w:val="center"/>
          </w:tcPr>
          <w:p w14:paraId="145C3B5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国际商务谈判</w:t>
            </w:r>
            <w:r>
              <w:rPr>
                <w:rFonts w:hint="eastAsia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1000" w:type="dxa"/>
            <w:noWrap w:val="0"/>
            <w:vAlign w:val="center"/>
          </w:tcPr>
          <w:p w14:paraId="020C68A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197" w:type="dxa"/>
            <w:noWrap w:val="0"/>
            <w:vAlign w:val="center"/>
          </w:tcPr>
          <w:p w14:paraId="588DB8E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中央财经大学</w:t>
            </w:r>
          </w:p>
        </w:tc>
        <w:tc>
          <w:tcPr>
            <w:tcW w:w="1225" w:type="dxa"/>
            <w:noWrap w:val="0"/>
            <w:vAlign w:val="center"/>
          </w:tcPr>
          <w:p w14:paraId="1375EC8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应用经济学</w:t>
            </w:r>
          </w:p>
        </w:tc>
        <w:tc>
          <w:tcPr>
            <w:tcW w:w="1197" w:type="dxa"/>
            <w:noWrap w:val="0"/>
            <w:vAlign w:val="center"/>
          </w:tcPr>
          <w:p w14:paraId="796E70D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经济学博士</w:t>
            </w:r>
          </w:p>
        </w:tc>
        <w:tc>
          <w:tcPr>
            <w:tcW w:w="764" w:type="dxa"/>
            <w:noWrap w:val="0"/>
            <w:vAlign w:val="center"/>
          </w:tcPr>
          <w:p w14:paraId="624AA5C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国际贸易</w:t>
            </w:r>
          </w:p>
        </w:tc>
        <w:tc>
          <w:tcPr>
            <w:tcW w:w="834" w:type="dxa"/>
            <w:noWrap w:val="0"/>
            <w:vAlign w:val="center"/>
          </w:tcPr>
          <w:p w14:paraId="164D1C3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4ABA063F">
        <w:trPr>
          <w:trHeight w:val="774" w:hRule="atLeast"/>
        </w:trPr>
        <w:tc>
          <w:tcPr>
            <w:tcW w:w="859" w:type="dxa"/>
            <w:noWrap w:val="0"/>
            <w:vAlign w:val="center"/>
          </w:tcPr>
          <w:p w14:paraId="5FC6044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强国令</w:t>
            </w:r>
          </w:p>
        </w:tc>
        <w:tc>
          <w:tcPr>
            <w:tcW w:w="487" w:type="dxa"/>
            <w:noWrap w:val="0"/>
            <w:vAlign w:val="center"/>
          </w:tcPr>
          <w:p w14:paraId="7CB8E26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914" w:type="dxa"/>
            <w:noWrap w:val="0"/>
            <w:vAlign w:val="center"/>
          </w:tcPr>
          <w:p w14:paraId="4764B47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1973.05</w:t>
            </w:r>
          </w:p>
        </w:tc>
        <w:tc>
          <w:tcPr>
            <w:tcW w:w="1167" w:type="dxa"/>
            <w:noWrap w:val="0"/>
            <w:vAlign w:val="center"/>
          </w:tcPr>
          <w:p w14:paraId="3BBE5D4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国际金融法</w:t>
            </w:r>
          </w:p>
        </w:tc>
        <w:tc>
          <w:tcPr>
            <w:tcW w:w="1000" w:type="dxa"/>
            <w:noWrap w:val="0"/>
            <w:vAlign w:val="center"/>
          </w:tcPr>
          <w:p w14:paraId="0051F87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197" w:type="dxa"/>
            <w:noWrap w:val="0"/>
            <w:vAlign w:val="center"/>
          </w:tcPr>
          <w:p w14:paraId="29BA8F1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0BA7E36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金融学</w:t>
            </w:r>
          </w:p>
        </w:tc>
        <w:tc>
          <w:tcPr>
            <w:tcW w:w="1197" w:type="dxa"/>
            <w:noWrap w:val="0"/>
            <w:vAlign w:val="center"/>
          </w:tcPr>
          <w:p w14:paraId="759C3F2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经济学博士</w:t>
            </w:r>
          </w:p>
        </w:tc>
        <w:tc>
          <w:tcPr>
            <w:tcW w:w="764" w:type="dxa"/>
            <w:noWrap w:val="0"/>
            <w:vAlign w:val="center"/>
          </w:tcPr>
          <w:p w14:paraId="3FF2AB2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国际金融</w:t>
            </w:r>
          </w:p>
        </w:tc>
        <w:tc>
          <w:tcPr>
            <w:tcW w:w="834" w:type="dxa"/>
            <w:noWrap w:val="0"/>
            <w:vAlign w:val="center"/>
          </w:tcPr>
          <w:p w14:paraId="6D18D9B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01948C33">
        <w:trPr>
          <w:trHeight w:val="774" w:hRule="atLeast"/>
        </w:trPr>
        <w:tc>
          <w:tcPr>
            <w:tcW w:w="859" w:type="dxa"/>
            <w:noWrap w:val="0"/>
            <w:vAlign w:val="center"/>
          </w:tcPr>
          <w:p w14:paraId="024FB41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袁培</w:t>
            </w:r>
          </w:p>
        </w:tc>
        <w:tc>
          <w:tcPr>
            <w:tcW w:w="487" w:type="dxa"/>
            <w:noWrap w:val="0"/>
            <w:vAlign w:val="center"/>
          </w:tcPr>
          <w:p w14:paraId="763FED6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57BB095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1980.02</w:t>
            </w:r>
          </w:p>
        </w:tc>
        <w:tc>
          <w:tcPr>
            <w:tcW w:w="1167" w:type="dxa"/>
            <w:noWrap w:val="0"/>
            <w:vAlign w:val="center"/>
          </w:tcPr>
          <w:p w14:paraId="7B66F9C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国际经济法</w:t>
            </w:r>
          </w:p>
        </w:tc>
        <w:tc>
          <w:tcPr>
            <w:tcW w:w="1000" w:type="dxa"/>
            <w:noWrap w:val="0"/>
            <w:vAlign w:val="center"/>
          </w:tcPr>
          <w:p w14:paraId="42C26E1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197" w:type="dxa"/>
            <w:noWrap w:val="0"/>
            <w:vAlign w:val="center"/>
          </w:tcPr>
          <w:p w14:paraId="6D149F1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67A930A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</w:t>
            </w:r>
          </w:p>
        </w:tc>
        <w:tc>
          <w:tcPr>
            <w:tcW w:w="1197" w:type="dxa"/>
            <w:noWrap w:val="0"/>
            <w:vAlign w:val="center"/>
          </w:tcPr>
          <w:p w14:paraId="3F4779C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经济学博士</w:t>
            </w:r>
          </w:p>
        </w:tc>
        <w:tc>
          <w:tcPr>
            <w:tcW w:w="764" w:type="dxa"/>
            <w:noWrap w:val="0"/>
            <w:vAlign w:val="center"/>
          </w:tcPr>
          <w:p w14:paraId="08A4564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</w:t>
            </w:r>
          </w:p>
        </w:tc>
        <w:tc>
          <w:tcPr>
            <w:tcW w:w="834" w:type="dxa"/>
            <w:noWrap w:val="0"/>
            <w:vAlign w:val="center"/>
          </w:tcPr>
          <w:p w14:paraId="14BC933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7E6ABBCE">
        <w:trPr>
          <w:trHeight w:val="939" w:hRule="atLeast"/>
        </w:trPr>
        <w:tc>
          <w:tcPr>
            <w:tcW w:w="859" w:type="dxa"/>
            <w:noWrap w:val="0"/>
            <w:vAlign w:val="center"/>
          </w:tcPr>
          <w:p w14:paraId="0FC6A0C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胡颖</w:t>
            </w:r>
          </w:p>
        </w:tc>
        <w:tc>
          <w:tcPr>
            <w:tcW w:w="487" w:type="dxa"/>
            <w:noWrap w:val="0"/>
            <w:vAlign w:val="center"/>
          </w:tcPr>
          <w:p w14:paraId="7B3B9F2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392B148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1973.05</w:t>
            </w:r>
          </w:p>
        </w:tc>
        <w:tc>
          <w:tcPr>
            <w:tcW w:w="1167" w:type="dxa"/>
            <w:noWrap w:val="0"/>
            <w:vAlign w:val="center"/>
          </w:tcPr>
          <w:p w14:paraId="033D5BB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国际商事谈判</w:t>
            </w:r>
          </w:p>
        </w:tc>
        <w:tc>
          <w:tcPr>
            <w:tcW w:w="1000" w:type="dxa"/>
            <w:noWrap w:val="0"/>
            <w:vAlign w:val="center"/>
          </w:tcPr>
          <w:p w14:paraId="5194682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197" w:type="dxa"/>
            <w:noWrap w:val="0"/>
            <w:vAlign w:val="center"/>
          </w:tcPr>
          <w:p w14:paraId="0F8A57A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新疆农业大学</w:t>
            </w:r>
          </w:p>
        </w:tc>
        <w:tc>
          <w:tcPr>
            <w:tcW w:w="1225" w:type="dxa"/>
            <w:noWrap w:val="0"/>
            <w:vAlign w:val="center"/>
          </w:tcPr>
          <w:p w14:paraId="0083155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国际贸易</w:t>
            </w:r>
          </w:p>
        </w:tc>
        <w:tc>
          <w:tcPr>
            <w:tcW w:w="1197" w:type="dxa"/>
            <w:noWrap w:val="0"/>
            <w:vAlign w:val="center"/>
          </w:tcPr>
          <w:p w14:paraId="487B22D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经济学博士</w:t>
            </w:r>
          </w:p>
        </w:tc>
        <w:tc>
          <w:tcPr>
            <w:tcW w:w="764" w:type="dxa"/>
            <w:noWrap w:val="0"/>
            <w:vAlign w:val="center"/>
          </w:tcPr>
          <w:p w14:paraId="55DD609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国际贸易</w:t>
            </w:r>
          </w:p>
        </w:tc>
        <w:tc>
          <w:tcPr>
            <w:tcW w:w="834" w:type="dxa"/>
            <w:noWrap w:val="0"/>
            <w:vAlign w:val="center"/>
          </w:tcPr>
          <w:p w14:paraId="4837EFC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4F6238E5">
        <w:trPr>
          <w:trHeight w:val="480" w:hRule="atLeast"/>
        </w:trPr>
        <w:tc>
          <w:tcPr>
            <w:tcW w:w="859" w:type="dxa"/>
            <w:noWrap w:val="0"/>
            <w:vAlign w:val="center"/>
          </w:tcPr>
          <w:p w14:paraId="2B7CA64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吴晓燕</w:t>
            </w:r>
          </w:p>
        </w:tc>
        <w:tc>
          <w:tcPr>
            <w:tcW w:w="487" w:type="dxa"/>
            <w:noWrap w:val="0"/>
            <w:vAlign w:val="center"/>
          </w:tcPr>
          <w:p w14:paraId="67A87BD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0BF0487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1978.04</w:t>
            </w:r>
          </w:p>
        </w:tc>
        <w:tc>
          <w:tcPr>
            <w:tcW w:w="1167" w:type="dxa"/>
            <w:noWrap w:val="0"/>
            <w:vAlign w:val="center"/>
          </w:tcPr>
          <w:p w14:paraId="10DEF91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国际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法、国际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民商事争议解决法、国际商务谈判、国际法</w:t>
            </w:r>
          </w:p>
        </w:tc>
        <w:tc>
          <w:tcPr>
            <w:tcW w:w="1000" w:type="dxa"/>
            <w:noWrap w:val="0"/>
            <w:vAlign w:val="center"/>
          </w:tcPr>
          <w:p w14:paraId="09F9AD8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副教授</w:t>
            </w:r>
          </w:p>
        </w:tc>
        <w:tc>
          <w:tcPr>
            <w:tcW w:w="1197" w:type="dxa"/>
            <w:noWrap w:val="0"/>
            <w:vAlign w:val="center"/>
          </w:tcPr>
          <w:p w14:paraId="6E6F273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56A448E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国际法学</w:t>
            </w:r>
          </w:p>
        </w:tc>
        <w:tc>
          <w:tcPr>
            <w:tcW w:w="1197" w:type="dxa"/>
            <w:noWrap w:val="0"/>
            <w:vAlign w:val="center"/>
          </w:tcPr>
          <w:p w14:paraId="6005BD0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7B49798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国际法、国际争端解决</w:t>
            </w:r>
          </w:p>
        </w:tc>
        <w:tc>
          <w:tcPr>
            <w:tcW w:w="834" w:type="dxa"/>
            <w:noWrap w:val="0"/>
            <w:vAlign w:val="center"/>
          </w:tcPr>
          <w:p w14:paraId="3D641F7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专职</w:t>
            </w:r>
          </w:p>
        </w:tc>
      </w:tr>
      <w:tr w14:paraId="002FEDA6">
        <w:trPr>
          <w:trHeight w:val="480" w:hRule="atLeast"/>
        </w:trPr>
        <w:tc>
          <w:tcPr>
            <w:tcW w:w="859" w:type="dxa"/>
            <w:noWrap w:val="0"/>
            <w:vAlign w:val="center"/>
          </w:tcPr>
          <w:p w14:paraId="5D526DE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阿不都热合曼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卡德尔</w:t>
            </w:r>
          </w:p>
        </w:tc>
        <w:tc>
          <w:tcPr>
            <w:tcW w:w="487" w:type="dxa"/>
            <w:noWrap w:val="0"/>
            <w:vAlign w:val="center"/>
          </w:tcPr>
          <w:p w14:paraId="544382F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男</w:t>
            </w:r>
          </w:p>
        </w:tc>
        <w:tc>
          <w:tcPr>
            <w:tcW w:w="914" w:type="dxa"/>
            <w:noWrap w:val="0"/>
            <w:vAlign w:val="center"/>
          </w:tcPr>
          <w:p w14:paraId="5BC3F9C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1970.05</w:t>
            </w:r>
          </w:p>
        </w:tc>
        <w:tc>
          <w:tcPr>
            <w:tcW w:w="1167" w:type="dxa"/>
            <w:noWrap w:val="0"/>
            <w:vAlign w:val="center"/>
          </w:tcPr>
          <w:p w14:paraId="2A30D44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eastAsia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亚欧区域国际经济法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、国际金融法、法律英语、国际组织法</w:t>
            </w:r>
          </w:p>
        </w:tc>
        <w:tc>
          <w:tcPr>
            <w:tcW w:w="1000" w:type="dxa"/>
            <w:noWrap w:val="0"/>
            <w:vAlign w:val="center"/>
          </w:tcPr>
          <w:p w14:paraId="7B39A54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副教授</w:t>
            </w:r>
          </w:p>
        </w:tc>
        <w:tc>
          <w:tcPr>
            <w:tcW w:w="1197" w:type="dxa"/>
            <w:noWrap w:val="0"/>
            <w:vAlign w:val="center"/>
          </w:tcPr>
          <w:p w14:paraId="30ACCA3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655A0B0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国际法学</w:t>
            </w:r>
          </w:p>
        </w:tc>
        <w:tc>
          <w:tcPr>
            <w:tcW w:w="1197" w:type="dxa"/>
            <w:noWrap w:val="0"/>
            <w:vAlign w:val="center"/>
          </w:tcPr>
          <w:p w14:paraId="5A335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  <w:p w14:paraId="1FD03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法学博士</w:t>
            </w:r>
          </w:p>
          <w:p w14:paraId="23918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  <w:p w14:paraId="2256F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64" w:type="dxa"/>
            <w:noWrap w:val="0"/>
            <w:vAlign w:val="center"/>
          </w:tcPr>
          <w:p w14:paraId="728AC41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国际经济法、上合组织法律制度</w:t>
            </w:r>
          </w:p>
        </w:tc>
        <w:tc>
          <w:tcPr>
            <w:tcW w:w="834" w:type="dxa"/>
            <w:noWrap w:val="0"/>
            <w:vAlign w:val="center"/>
          </w:tcPr>
          <w:p w14:paraId="427DB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  <w:p w14:paraId="59FEE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  <w:p w14:paraId="0759C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专职</w:t>
            </w:r>
          </w:p>
        </w:tc>
      </w:tr>
      <w:tr w14:paraId="6DE12BDE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121A694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丁洁</w:t>
            </w:r>
          </w:p>
        </w:tc>
        <w:tc>
          <w:tcPr>
            <w:tcW w:w="487" w:type="dxa"/>
            <w:noWrap w:val="0"/>
            <w:vAlign w:val="center"/>
          </w:tcPr>
          <w:p w14:paraId="0938F68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00145E4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1981.12</w:t>
            </w:r>
          </w:p>
        </w:tc>
        <w:tc>
          <w:tcPr>
            <w:tcW w:w="1167" w:type="dxa"/>
            <w:noWrap w:val="0"/>
            <w:vAlign w:val="center"/>
          </w:tcPr>
          <w:p w14:paraId="70B023C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国际投资法、国际金融法、国际经济法</w:t>
            </w:r>
          </w:p>
        </w:tc>
        <w:tc>
          <w:tcPr>
            <w:tcW w:w="1000" w:type="dxa"/>
            <w:noWrap w:val="0"/>
            <w:vAlign w:val="center"/>
          </w:tcPr>
          <w:p w14:paraId="64CDFA1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副教授</w:t>
            </w:r>
          </w:p>
        </w:tc>
        <w:tc>
          <w:tcPr>
            <w:tcW w:w="1197" w:type="dxa"/>
            <w:noWrap w:val="0"/>
            <w:vAlign w:val="center"/>
          </w:tcPr>
          <w:p w14:paraId="226F419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0F8BC0C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民商法学</w:t>
            </w:r>
          </w:p>
        </w:tc>
        <w:tc>
          <w:tcPr>
            <w:tcW w:w="1197" w:type="dxa"/>
            <w:noWrap w:val="0"/>
            <w:vAlign w:val="center"/>
          </w:tcPr>
          <w:p w14:paraId="5F467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047AE6F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商法</w:t>
            </w:r>
          </w:p>
        </w:tc>
        <w:tc>
          <w:tcPr>
            <w:tcW w:w="834" w:type="dxa"/>
            <w:noWrap w:val="0"/>
            <w:vAlign w:val="center"/>
          </w:tcPr>
          <w:p w14:paraId="3F08BAC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专职</w:t>
            </w:r>
          </w:p>
        </w:tc>
      </w:tr>
      <w:tr w14:paraId="2626770F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1E497AD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左晶</w:t>
            </w:r>
          </w:p>
        </w:tc>
        <w:tc>
          <w:tcPr>
            <w:tcW w:w="487" w:type="dxa"/>
            <w:noWrap w:val="0"/>
            <w:vAlign w:val="center"/>
          </w:tcPr>
          <w:p w14:paraId="77EE659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31A327E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1978.06</w:t>
            </w:r>
          </w:p>
        </w:tc>
        <w:tc>
          <w:tcPr>
            <w:tcW w:w="1167" w:type="dxa"/>
            <w:noWrap w:val="0"/>
            <w:vAlign w:val="center"/>
          </w:tcPr>
          <w:p w14:paraId="536D2BF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国际法</w:t>
            </w:r>
          </w:p>
        </w:tc>
        <w:tc>
          <w:tcPr>
            <w:tcW w:w="1000" w:type="dxa"/>
            <w:noWrap w:val="0"/>
            <w:vAlign w:val="center"/>
          </w:tcPr>
          <w:p w14:paraId="2A2E29A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197" w:type="dxa"/>
            <w:noWrap w:val="0"/>
            <w:vAlign w:val="center"/>
          </w:tcPr>
          <w:p w14:paraId="618F615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</w:p>
          <w:p w14:paraId="47ACB14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7E91A5B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行政法学</w:t>
            </w:r>
          </w:p>
        </w:tc>
        <w:tc>
          <w:tcPr>
            <w:tcW w:w="1197" w:type="dxa"/>
            <w:noWrap w:val="0"/>
            <w:vAlign w:val="center"/>
          </w:tcPr>
          <w:p w14:paraId="5E4A3F0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1145376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行政法</w:t>
            </w:r>
          </w:p>
        </w:tc>
        <w:tc>
          <w:tcPr>
            <w:tcW w:w="834" w:type="dxa"/>
            <w:noWrap w:val="0"/>
            <w:vAlign w:val="center"/>
          </w:tcPr>
          <w:p w14:paraId="1412E2E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0E582ACF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7B08100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董梅</w:t>
            </w:r>
          </w:p>
        </w:tc>
        <w:tc>
          <w:tcPr>
            <w:tcW w:w="487" w:type="dxa"/>
            <w:noWrap w:val="0"/>
            <w:vAlign w:val="center"/>
          </w:tcPr>
          <w:p w14:paraId="05876F2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2B7B95E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1976.01</w:t>
            </w:r>
          </w:p>
        </w:tc>
        <w:tc>
          <w:tcPr>
            <w:tcW w:w="1167" w:type="dxa"/>
            <w:noWrap w:val="0"/>
            <w:vAlign w:val="center"/>
          </w:tcPr>
          <w:p w14:paraId="49CE947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亚欧区域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国际经济法</w:t>
            </w:r>
          </w:p>
        </w:tc>
        <w:tc>
          <w:tcPr>
            <w:tcW w:w="1000" w:type="dxa"/>
            <w:noWrap w:val="0"/>
            <w:vAlign w:val="center"/>
          </w:tcPr>
          <w:p w14:paraId="6AB93C4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197" w:type="dxa"/>
            <w:noWrap w:val="0"/>
            <w:vAlign w:val="center"/>
          </w:tcPr>
          <w:p w14:paraId="19311E6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中央财经大学</w:t>
            </w:r>
          </w:p>
        </w:tc>
        <w:tc>
          <w:tcPr>
            <w:tcW w:w="1225" w:type="dxa"/>
            <w:noWrap w:val="0"/>
            <w:vAlign w:val="center"/>
          </w:tcPr>
          <w:p w14:paraId="0E61E9B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财政学</w:t>
            </w:r>
          </w:p>
        </w:tc>
        <w:tc>
          <w:tcPr>
            <w:tcW w:w="1197" w:type="dxa"/>
            <w:noWrap w:val="0"/>
            <w:vAlign w:val="center"/>
          </w:tcPr>
          <w:p w14:paraId="56383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经济学博士</w:t>
            </w:r>
          </w:p>
        </w:tc>
        <w:tc>
          <w:tcPr>
            <w:tcW w:w="764" w:type="dxa"/>
            <w:noWrap w:val="0"/>
            <w:vAlign w:val="center"/>
          </w:tcPr>
          <w:p w14:paraId="65B59B7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财税法</w:t>
            </w:r>
          </w:p>
        </w:tc>
        <w:tc>
          <w:tcPr>
            <w:tcW w:w="834" w:type="dxa"/>
            <w:noWrap w:val="0"/>
            <w:vAlign w:val="center"/>
          </w:tcPr>
          <w:p w14:paraId="5F8A0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2EA1A705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0EAE4AF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阿梅娜·阿布力米提</w:t>
            </w:r>
          </w:p>
        </w:tc>
        <w:tc>
          <w:tcPr>
            <w:tcW w:w="487" w:type="dxa"/>
            <w:noWrap w:val="0"/>
            <w:vAlign w:val="center"/>
          </w:tcPr>
          <w:p w14:paraId="6679A31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389CED2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1977.03</w:t>
            </w:r>
          </w:p>
        </w:tc>
        <w:tc>
          <w:tcPr>
            <w:tcW w:w="1167" w:type="dxa"/>
            <w:noWrap w:val="0"/>
            <w:vAlign w:val="center"/>
          </w:tcPr>
          <w:p w14:paraId="5030609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国际民商事争议解决法</w:t>
            </w:r>
          </w:p>
        </w:tc>
        <w:tc>
          <w:tcPr>
            <w:tcW w:w="1000" w:type="dxa"/>
            <w:noWrap w:val="0"/>
            <w:vAlign w:val="center"/>
          </w:tcPr>
          <w:p w14:paraId="3610B7D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197" w:type="dxa"/>
            <w:noWrap w:val="0"/>
            <w:vAlign w:val="center"/>
          </w:tcPr>
          <w:p w14:paraId="4C7D8D2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5006D62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民商法学</w:t>
            </w:r>
          </w:p>
        </w:tc>
        <w:tc>
          <w:tcPr>
            <w:tcW w:w="1197" w:type="dxa"/>
            <w:noWrap w:val="0"/>
            <w:vAlign w:val="center"/>
          </w:tcPr>
          <w:p w14:paraId="39C79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070A262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社会法</w:t>
            </w:r>
          </w:p>
        </w:tc>
        <w:tc>
          <w:tcPr>
            <w:tcW w:w="834" w:type="dxa"/>
            <w:noWrap w:val="0"/>
            <w:vAlign w:val="center"/>
          </w:tcPr>
          <w:p w14:paraId="0089C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79A7D684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0B0C09E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张远</w:t>
            </w:r>
          </w:p>
        </w:tc>
        <w:tc>
          <w:tcPr>
            <w:tcW w:w="487" w:type="dxa"/>
            <w:noWrap w:val="0"/>
            <w:vAlign w:val="center"/>
          </w:tcPr>
          <w:p w14:paraId="1554969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男</w:t>
            </w:r>
          </w:p>
        </w:tc>
        <w:tc>
          <w:tcPr>
            <w:tcW w:w="914" w:type="dxa"/>
            <w:noWrap w:val="0"/>
            <w:vAlign w:val="center"/>
          </w:tcPr>
          <w:p w14:paraId="205ED45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1988.10</w:t>
            </w:r>
          </w:p>
        </w:tc>
        <w:tc>
          <w:tcPr>
            <w:tcW w:w="1167" w:type="dxa"/>
            <w:noWrap w:val="0"/>
            <w:vAlign w:val="center"/>
          </w:tcPr>
          <w:p w14:paraId="35227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国际投资法、国际法案例选读、国际法</w:t>
            </w:r>
          </w:p>
        </w:tc>
        <w:tc>
          <w:tcPr>
            <w:tcW w:w="1000" w:type="dxa"/>
            <w:noWrap w:val="0"/>
            <w:vAlign w:val="center"/>
          </w:tcPr>
          <w:p w14:paraId="631E5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  <w:p w14:paraId="58C2B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讲师</w:t>
            </w:r>
          </w:p>
        </w:tc>
        <w:tc>
          <w:tcPr>
            <w:tcW w:w="1197" w:type="dxa"/>
            <w:noWrap w:val="0"/>
            <w:vAlign w:val="center"/>
          </w:tcPr>
          <w:p w14:paraId="332F982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新疆师范大学</w:t>
            </w:r>
          </w:p>
        </w:tc>
        <w:tc>
          <w:tcPr>
            <w:tcW w:w="1225" w:type="dxa"/>
            <w:noWrap w:val="0"/>
            <w:vAlign w:val="center"/>
          </w:tcPr>
          <w:p w14:paraId="34A0B5E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马克思主义理论</w:t>
            </w:r>
          </w:p>
        </w:tc>
        <w:tc>
          <w:tcPr>
            <w:tcW w:w="1197" w:type="dxa"/>
            <w:noWrap w:val="0"/>
            <w:vAlign w:val="center"/>
          </w:tcPr>
          <w:p w14:paraId="2C2681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706A32A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国际法</w:t>
            </w:r>
          </w:p>
        </w:tc>
        <w:tc>
          <w:tcPr>
            <w:tcW w:w="834" w:type="dxa"/>
            <w:noWrap w:val="0"/>
            <w:vAlign w:val="center"/>
          </w:tcPr>
          <w:p w14:paraId="235D9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专职</w:t>
            </w:r>
          </w:p>
        </w:tc>
      </w:tr>
      <w:tr w14:paraId="2B0AC865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72007A5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孙群</w:t>
            </w:r>
          </w:p>
        </w:tc>
        <w:tc>
          <w:tcPr>
            <w:tcW w:w="487" w:type="dxa"/>
            <w:noWrap w:val="0"/>
            <w:vAlign w:val="center"/>
          </w:tcPr>
          <w:p w14:paraId="5DBF042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6F867AC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1983.6</w:t>
            </w:r>
          </w:p>
        </w:tc>
        <w:tc>
          <w:tcPr>
            <w:tcW w:w="1167" w:type="dxa"/>
            <w:noWrap w:val="0"/>
            <w:vAlign w:val="center"/>
          </w:tcPr>
          <w:p w14:paraId="5F1C9B9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国际私法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、法律英语、国际商务谈判</w:t>
            </w:r>
          </w:p>
        </w:tc>
        <w:tc>
          <w:tcPr>
            <w:tcW w:w="1000" w:type="dxa"/>
            <w:noWrap w:val="0"/>
            <w:vAlign w:val="center"/>
          </w:tcPr>
          <w:p w14:paraId="7F957C4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197" w:type="dxa"/>
            <w:noWrap w:val="0"/>
            <w:vAlign w:val="center"/>
          </w:tcPr>
          <w:p w14:paraId="3D2725B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英国曼彻斯特大学</w:t>
            </w:r>
          </w:p>
        </w:tc>
        <w:tc>
          <w:tcPr>
            <w:tcW w:w="1225" w:type="dxa"/>
            <w:noWrap w:val="0"/>
            <w:vAlign w:val="center"/>
          </w:tcPr>
          <w:p w14:paraId="73796E9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国际商法</w:t>
            </w:r>
          </w:p>
        </w:tc>
        <w:tc>
          <w:tcPr>
            <w:tcW w:w="1197" w:type="dxa"/>
            <w:noWrap w:val="0"/>
            <w:vAlign w:val="center"/>
          </w:tcPr>
          <w:p w14:paraId="6AD3B5F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硕士研究生</w:t>
            </w:r>
          </w:p>
        </w:tc>
        <w:tc>
          <w:tcPr>
            <w:tcW w:w="764" w:type="dxa"/>
            <w:noWrap w:val="0"/>
            <w:vAlign w:val="center"/>
          </w:tcPr>
          <w:p w14:paraId="5D8D47D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国际私法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国际商法</w:t>
            </w:r>
          </w:p>
        </w:tc>
        <w:tc>
          <w:tcPr>
            <w:tcW w:w="834" w:type="dxa"/>
            <w:noWrap w:val="0"/>
            <w:vAlign w:val="center"/>
          </w:tcPr>
          <w:p w14:paraId="0EB9267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7D3E6563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09CD513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吐热尼萨·萨丁</w:t>
            </w:r>
          </w:p>
        </w:tc>
        <w:tc>
          <w:tcPr>
            <w:tcW w:w="487" w:type="dxa"/>
            <w:noWrap w:val="0"/>
            <w:vAlign w:val="center"/>
          </w:tcPr>
          <w:p w14:paraId="398AB64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5A9CEDE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1987.04</w:t>
            </w:r>
          </w:p>
        </w:tc>
        <w:tc>
          <w:tcPr>
            <w:tcW w:w="1167" w:type="dxa"/>
            <w:noWrap w:val="0"/>
            <w:vAlign w:val="center"/>
          </w:tcPr>
          <w:p w14:paraId="4F1B7ED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国际民商事争议解决法</w:t>
            </w:r>
          </w:p>
        </w:tc>
        <w:tc>
          <w:tcPr>
            <w:tcW w:w="1000" w:type="dxa"/>
            <w:noWrap w:val="0"/>
            <w:vAlign w:val="center"/>
          </w:tcPr>
          <w:p w14:paraId="658E968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197" w:type="dxa"/>
            <w:noWrap w:val="0"/>
            <w:vAlign w:val="center"/>
          </w:tcPr>
          <w:p w14:paraId="694602F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中国政法大学</w:t>
            </w:r>
          </w:p>
        </w:tc>
        <w:tc>
          <w:tcPr>
            <w:tcW w:w="1225" w:type="dxa"/>
            <w:noWrap w:val="0"/>
            <w:vAlign w:val="center"/>
          </w:tcPr>
          <w:p w14:paraId="2CE5D95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诉讼法学</w:t>
            </w:r>
          </w:p>
        </w:tc>
        <w:tc>
          <w:tcPr>
            <w:tcW w:w="1197" w:type="dxa"/>
            <w:noWrap w:val="0"/>
            <w:vAlign w:val="center"/>
          </w:tcPr>
          <w:p w14:paraId="2974D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1933C0C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民事诉讼法学、仲裁法学</w:t>
            </w:r>
          </w:p>
        </w:tc>
        <w:tc>
          <w:tcPr>
            <w:tcW w:w="834" w:type="dxa"/>
            <w:noWrap w:val="0"/>
            <w:vAlign w:val="center"/>
          </w:tcPr>
          <w:p w14:paraId="1F3BC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专职</w:t>
            </w:r>
          </w:p>
        </w:tc>
      </w:tr>
      <w:tr w14:paraId="40DE9033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57CC585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地丽格娜·地里夏提</w:t>
            </w:r>
          </w:p>
        </w:tc>
        <w:tc>
          <w:tcPr>
            <w:tcW w:w="487" w:type="dxa"/>
            <w:noWrap w:val="0"/>
            <w:vAlign w:val="center"/>
          </w:tcPr>
          <w:p w14:paraId="26249AA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09C75B1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1989.11</w:t>
            </w:r>
          </w:p>
        </w:tc>
        <w:tc>
          <w:tcPr>
            <w:tcW w:w="1167" w:type="dxa"/>
            <w:noWrap w:val="0"/>
            <w:vAlign w:val="center"/>
          </w:tcPr>
          <w:p w14:paraId="798AE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国际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环境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法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、国际法案例选读</w:t>
            </w:r>
          </w:p>
        </w:tc>
        <w:tc>
          <w:tcPr>
            <w:tcW w:w="1000" w:type="dxa"/>
            <w:noWrap w:val="0"/>
            <w:vAlign w:val="center"/>
          </w:tcPr>
          <w:p w14:paraId="3D33A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副教授</w:t>
            </w:r>
          </w:p>
        </w:tc>
        <w:tc>
          <w:tcPr>
            <w:tcW w:w="1197" w:type="dxa"/>
            <w:noWrap w:val="0"/>
            <w:vAlign w:val="center"/>
          </w:tcPr>
          <w:p w14:paraId="357669E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同济大学</w:t>
            </w:r>
          </w:p>
        </w:tc>
        <w:tc>
          <w:tcPr>
            <w:tcW w:w="1225" w:type="dxa"/>
            <w:noWrap w:val="0"/>
            <w:vAlign w:val="center"/>
          </w:tcPr>
          <w:p w14:paraId="073C082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知识产权</w:t>
            </w:r>
          </w:p>
        </w:tc>
        <w:tc>
          <w:tcPr>
            <w:tcW w:w="1197" w:type="dxa"/>
            <w:noWrap w:val="0"/>
            <w:vAlign w:val="center"/>
          </w:tcPr>
          <w:p w14:paraId="64F19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</w:p>
          <w:p w14:paraId="74983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管理学博士</w:t>
            </w:r>
          </w:p>
        </w:tc>
        <w:tc>
          <w:tcPr>
            <w:tcW w:w="764" w:type="dxa"/>
            <w:noWrap w:val="0"/>
            <w:vAlign w:val="center"/>
          </w:tcPr>
          <w:p w14:paraId="54AD6E4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知识产权法</w:t>
            </w:r>
          </w:p>
        </w:tc>
        <w:tc>
          <w:tcPr>
            <w:tcW w:w="834" w:type="dxa"/>
            <w:noWrap w:val="0"/>
            <w:vAlign w:val="center"/>
          </w:tcPr>
          <w:p w14:paraId="1A222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专职</w:t>
            </w:r>
          </w:p>
        </w:tc>
      </w:tr>
      <w:tr w14:paraId="5E47C904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6F7361C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李倩薇</w:t>
            </w:r>
          </w:p>
        </w:tc>
        <w:tc>
          <w:tcPr>
            <w:tcW w:w="487" w:type="dxa"/>
            <w:noWrap w:val="0"/>
            <w:vAlign w:val="center"/>
          </w:tcPr>
          <w:p w14:paraId="7862FC1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39078C1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1992.01</w:t>
            </w:r>
          </w:p>
        </w:tc>
        <w:tc>
          <w:tcPr>
            <w:tcW w:w="1167" w:type="dxa"/>
            <w:noWrap w:val="0"/>
            <w:vAlign w:val="center"/>
          </w:tcPr>
          <w:p w14:paraId="037D861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国际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组织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法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、国际环境法</w:t>
            </w:r>
          </w:p>
        </w:tc>
        <w:tc>
          <w:tcPr>
            <w:tcW w:w="1000" w:type="dxa"/>
            <w:noWrap w:val="0"/>
            <w:vAlign w:val="center"/>
          </w:tcPr>
          <w:p w14:paraId="65DAAC7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讲师</w:t>
            </w:r>
          </w:p>
        </w:tc>
        <w:tc>
          <w:tcPr>
            <w:tcW w:w="1197" w:type="dxa"/>
            <w:noWrap w:val="0"/>
            <w:vAlign w:val="center"/>
          </w:tcPr>
          <w:p w14:paraId="4497390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新疆大学</w:t>
            </w:r>
          </w:p>
        </w:tc>
        <w:tc>
          <w:tcPr>
            <w:tcW w:w="1225" w:type="dxa"/>
            <w:noWrap w:val="0"/>
            <w:vAlign w:val="center"/>
          </w:tcPr>
          <w:p w14:paraId="48D6909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民法学</w:t>
            </w:r>
          </w:p>
        </w:tc>
        <w:tc>
          <w:tcPr>
            <w:tcW w:w="1197" w:type="dxa"/>
            <w:noWrap w:val="0"/>
            <w:vAlign w:val="center"/>
          </w:tcPr>
          <w:p w14:paraId="001A4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法学硕士</w:t>
            </w:r>
          </w:p>
        </w:tc>
        <w:tc>
          <w:tcPr>
            <w:tcW w:w="764" w:type="dxa"/>
            <w:noWrap w:val="0"/>
            <w:vAlign w:val="center"/>
          </w:tcPr>
          <w:p w14:paraId="192F802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环境法</w:t>
            </w:r>
          </w:p>
        </w:tc>
        <w:tc>
          <w:tcPr>
            <w:tcW w:w="834" w:type="dxa"/>
            <w:noWrap w:val="0"/>
            <w:vAlign w:val="center"/>
          </w:tcPr>
          <w:p w14:paraId="1E428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专职</w:t>
            </w:r>
          </w:p>
        </w:tc>
      </w:tr>
      <w:tr w14:paraId="0368ED62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3147F89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袁明东</w:t>
            </w:r>
          </w:p>
        </w:tc>
        <w:tc>
          <w:tcPr>
            <w:tcW w:w="487" w:type="dxa"/>
            <w:noWrap w:val="0"/>
            <w:vAlign w:val="center"/>
          </w:tcPr>
          <w:p w14:paraId="140549C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914" w:type="dxa"/>
            <w:noWrap w:val="0"/>
            <w:vAlign w:val="center"/>
          </w:tcPr>
          <w:p w14:paraId="525E2E3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1977.05</w:t>
            </w:r>
          </w:p>
        </w:tc>
        <w:tc>
          <w:tcPr>
            <w:tcW w:w="1167" w:type="dxa"/>
            <w:noWrap w:val="0"/>
            <w:vAlign w:val="center"/>
          </w:tcPr>
          <w:p w14:paraId="06288D1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国际环境法、国际组织法</w:t>
            </w:r>
          </w:p>
        </w:tc>
        <w:tc>
          <w:tcPr>
            <w:tcW w:w="1000" w:type="dxa"/>
            <w:noWrap w:val="0"/>
            <w:vAlign w:val="center"/>
          </w:tcPr>
          <w:p w14:paraId="0A7F676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二级法官</w:t>
            </w:r>
          </w:p>
        </w:tc>
        <w:tc>
          <w:tcPr>
            <w:tcW w:w="1197" w:type="dxa"/>
            <w:noWrap w:val="0"/>
            <w:vAlign w:val="center"/>
          </w:tcPr>
          <w:p w14:paraId="123F466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新疆大学</w:t>
            </w:r>
          </w:p>
        </w:tc>
        <w:tc>
          <w:tcPr>
            <w:tcW w:w="1225" w:type="dxa"/>
            <w:noWrap w:val="0"/>
            <w:vAlign w:val="center"/>
          </w:tcPr>
          <w:p w14:paraId="5722CCC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国际法</w:t>
            </w:r>
          </w:p>
        </w:tc>
        <w:tc>
          <w:tcPr>
            <w:tcW w:w="1197" w:type="dxa"/>
            <w:noWrap w:val="0"/>
            <w:vAlign w:val="center"/>
          </w:tcPr>
          <w:p w14:paraId="29069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34258EB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国际法</w:t>
            </w:r>
          </w:p>
        </w:tc>
        <w:tc>
          <w:tcPr>
            <w:tcW w:w="834" w:type="dxa"/>
            <w:noWrap w:val="0"/>
            <w:vAlign w:val="center"/>
          </w:tcPr>
          <w:p w14:paraId="03E26A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兼职</w:t>
            </w:r>
          </w:p>
        </w:tc>
      </w:tr>
      <w:tr w14:paraId="20BD13DE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5922EC4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石娟</w:t>
            </w:r>
          </w:p>
        </w:tc>
        <w:tc>
          <w:tcPr>
            <w:tcW w:w="487" w:type="dxa"/>
            <w:noWrap w:val="0"/>
            <w:vAlign w:val="center"/>
          </w:tcPr>
          <w:p w14:paraId="1FD339D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914" w:type="dxa"/>
            <w:noWrap w:val="0"/>
            <w:vAlign w:val="center"/>
          </w:tcPr>
          <w:p w14:paraId="3FC3D72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1980.05</w:t>
            </w:r>
          </w:p>
        </w:tc>
        <w:tc>
          <w:tcPr>
            <w:tcW w:w="1167" w:type="dxa"/>
            <w:noWrap w:val="0"/>
            <w:vAlign w:val="center"/>
          </w:tcPr>
          <w:p w14:paraId="796719F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国际民商事争议解决法</w:t>
            </w:r>
          </w:p>
        </w:tc>
        <w:tc>
          <w:tcPr>
            <w:tcW w:w="1000" w:type="dxa"/>
            <w:noWrap w:val="0"/>
            <w:vAlign w:val="center"/>
          </w:tcPr>
          <w:p w14:paraId="558B8BB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三级检察官</w:t>
            </w:r>
          </w:p>
        </w:tc>
        <w:tc>
          <w:tcPr>
            <w:tcW w:w="1197" w:type="dxa"/>
            <w:noWrap w:val="0"/>
            <w:vAlign w:val="center"/>
          </w:tcPr>
          <w:p w14:paraId="71C8B94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中国人民大学</w:t>
            </w:r>
          </w:p>
        </w:tc>
        <w:tc>
          <w:tcPr>
            <w:tcW w:w="1225" w:type="dxa"/>
            <w:noWrap w:val="0"/>
            <w:vAlign w:val="center"/>
          </w:tcPr>
          <w:p w14:paraId="67308B1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民商法</w:t>
            </w:r>
          </w:p>
        </w:tc>
        <w:tc>
          <w:tcPr>
            <w:tcW w:w="1197" w:type="dxa"/>
            <w:noWrap w:val="0"/>
            <w:vAlign w:val="center"/>
          </w:tcPr>
          <w:p w14:paraId="39164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法学博士</w:t>
            </w:r>
          </w:p>
        </w:tc>
        <w:tc>
          <w:tcPr>
            <w:tcW w:w="764" w:type="dxa"/>
            <w:noWrap w:val="0"/>
            <w:vAlign w:val="center"/>
          </w:tcPr>
          <w:p w14:paraId="58DD849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民商法</w:t>
            </w:r>
          </w:p>
        </w:tc>
        <w:tc>
          <w:tcPr>
            <w:tcW w:w="834" w:type="dxa"/>
            <w:noWrap w:val="0"/>
            <w:vAlign w:val="center"/>
          </w:tcPr>
          <w:p w14:paraId="2A16E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兼职</w:t>
            </w:r>
          </w:p>
        </w:tc>
      </w:tr>
      <w:tr w14:paraId="73BAB2BE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0E15FF1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温晓军</w:t>
            </w:r>
          </w:p>
        </w:tc>
        <w:tc>
          <w:tcPr>
            <w:tcW w:w="487" w:type="dxa"/>
            <w:noWrap w:val="0"/>
            <w:vAlign w:val="center"/>
          </w:tcPr>
          <w:p w14:paraId="3B7E26D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914" w:type="dxa"/>
            <w:noWrap w:val="0"/>
            <w:vAlign w:val="center"/>
          </w:tcPr>
          <w:p w14:paraId="02E9E54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1976.11</w:t>
            </w:r>
          </w:p>
        </w:tc>
        <w:tc>
          <w:tcPr>
            <w:tcW w:w="1167" w:type="dxa"/>
            <w:noWrap w:val="0"/>
            <w:vAlign w:val="center"/>
          </w:tcPr>
          <w:p w14:paraId="4CA29E4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国际法案例选读</w:t>
            </w:r>
          </w:p>
        </w:tc>
        <w:tc>
          <w:tcPr>
            <w:tcW w:w="1000" w:type="dxa"/>
            <w:noWrap w:val="0"/>
            <w:vAlign w:val="center"/>
          </w:tcPr>
          <w:p w14:paraId="22C624D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律师</w:t>
            </w:r>
          </w:p>
        </w:tc>
        <w:tc>
          <w:tcPr>
            <w:tcW w:w="1197" w:type="dxa"/>
            <w:noWrap w:val="0"/>
            <w:vAlign w:val="center"/>
          </w:tcPr>
          <w:p w14:paraId="50386CB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新疆财经大学</w:t>
            </w:r>
          </w:p>
        </w:tc>
        <w:tc>
          <w:tcPr>
            <w:tcW w:w="1225" w:type="dxa"/>
            <w:noWrap w:val="0"/>
            <w:vAlign w:val="center"/>
          </w:tcPr>
          <w:p w14:paraId="144B24E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高级管理人员工商管理硕士</w:t>
            </w:r>
          </w:p>
        </w:tc>
        <w:tc>
          <w:tcPr>
            <w:tcW w:w="1197" w:type="dxa"/>
            <w:noWrap w:val="0"/>
            <w:vAlign w:val="center"/>
          </w:tcPr>
          <w:p w14:paraId="32977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高级管理人员工商管理硕士</w:t>
            </w:r>
          </w:p>
        </w:tc>
        <w:tc>
          <w:tcPr>
            <w:tcW w:w="764" w:type="dxa"/>
            <w:noWrap w:val="0"/>
            <w:vAlign w:val="center"/>
          </w:tcPr>
          <w:p w14:paraId="4298B0F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工商管理</w:t>
            </w:r>
          </w:p>
        </w:tc>
        <w:tc>
          <w:tcPr>
            <w:tcW w:w="834" w:type="dxa"/>
            <w:noWrap w:val="0"/>
            <w:vAlign w:val="center"/>
          </w:tcPr>
          <w:p w14:paraId="13596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default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兼职</w:t>
            </w:r>
          </w:p>
        </w:tc>
      </w:tr>
      <w:tr w14:paraId="3911B95F">
        <w:trPr>
          <w:trHeight w:val="479" w:hRule="atLeast"/>
        </w:trPr>
        <w:tc>
          <w:tcPr>
            <w:tcW w:w="859" w:type="dxa"/>
            <w:noWrap w:val="0"/>
            <w:vAlign w:val="center"/>
          </w:tcPr>
          <w:p w14:paraId="7E40457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张兴权</w:t>
            </w:r>
          </w:p>
        </w:tc>
        <w:tc>
          <w:tcPr>
            <w:tcW w:w="487" w:type="dxa"/>
            <w:noWrap w:val="0"/>
            <w:vAlign w:val="center"/>
          </w:tcPr>
          <w:p w14:paraId="3BF00BF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914" w:type="dxa"/>
            <w:noWrap w:val="0"/>
            <w:vAlign w:val="center"/>
          </w:tcPr>
          <w:p w14:paraId="2609C12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1987.08</w:t>
            </w:r>
          </w:p>
        </w:tc>
        <w:tc>
          <w:tcPr>
            <w:tcW w:w="1167" w:type="dxa"/>
            <w:noWrap w:val="0"/>
            <w:vAlign w:val="center"/>
          </w:tcPr>
          <w:p w14:paraId="48B7862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国际金融法</w:t>
            </w:r>
          </w:p>
        </w:tc>
        <w:tc>
          <w:tcPr>
            <w:tcW w:w="1000" w:type="dxa"/>
            <w:noWrap w:val="0"/>
            <w:vAlign w:val="center"/>
          </w:tcPr>
          <w:p w14:paraId="1D020D6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律师</w:t>
            </w:r>
          </w:p>
        </w:tc>
        <w:tc>
          <w:tcPr>
            <w:tcW w:w="1197" w:type="dxa"/>
            <w:noWrap w:val="0"/>
            <w:vAlign w:val="center"/>
          </w:tcPr>
          <w:p w14:paraId="4E26413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新疆财经大学</w:t>
            </w:r>
          </w:p>
        </w:tc>
        <w:tc>
          <w:tcPr>
            <w:tcW w:w="1225" w:type="dxa"/>
            <w:noWrap w:val="0"/>
            <w:vAlign w:val="center"/>
          </w:tcPr>
          <w:p w14:paraId="07557C5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经济法学</w:t>
            </w:r>
          </w:p>
        </w:tc>
        <w:tc>
          <w:tcPr>
            <w:tcW w:w="1197" w:type="dxa"/>
            <w:noWrap w:val="0"/>
            <w:vAlign w:val="center"/>
          </w:tcPr>
          <w:p w14:paraId="5E3AB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法学硕士</w:t>
            </w:r>
          </w:p>
        </w:tc>
        <w:tc>
          <w:tcPr>
            <w:tcW w:w="764" w:type="dxa"/>
            <w:noWrap w:val="0"/>
            <w:vAlign w:val="center"/>
          </w:tcPr>
          <w:p w14:paraId="2A38888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经济法</w:t>
            </w:r>
          </w:p>
        </w:tc>
        <w:tc>
          <w:tcPr>
            <w:tcW w:w="834" w:type="dxa"/>
            <w:noWrap w:val="0"/>
            <w:vAlign w:val="center"/>
          </w:tcPr>
          <w:p w14:paraId="4BFB6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0" w:leftChars="0" w:right="0" w:rightChars="0"/>
              <w:jc w:val="center"/>
              <w:textAlignment w:val="auto"/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兼职</w:t>
            </w:r>
          </w:p>
        </w:tc>
      </w:tr>
    </w:tbl>
    <w:p w14:paraId="17962252">
      <w:pPr>
        <w:spacing w:before="6"/>
        <w:rPr>
          <w:rFonts w:ascii="Times New Roman" w:hAnsi="Times New Roman" w:cs="Times New Roman"/>
          <w:color w:val="auto"/>
        </w:rPr>
      </w:pPr>
    </w:p>
    <w:p w14:paraId="0B198180">
      <w:pPr>
        <w:spacing w:line="360" w:lineRule="auto"/>
        <w:ind w:firstLine="552" w:firstLineChars="200"/>
        <w:rPr>
          <w:rFonts w:ascii="Times New Roman" w:hAnsi="Times New Roman" w:eastAsia="宋体" w:cs="Times New Roman"/>
          <w:color w:val="auto"/>
          <w:spacing w:val="-2"/>
          <w:sz w:val="28"/>
          <w:szCs w:val="22"/>
          <w:lang w:val="zh-CN" w:eastAsia="zh-CN" w:bidi="zh-CN"/>
        </w:rPr>
      </w:pPr>
      <w:r>
        <w:rPr>
          <w:rFonts w:ascii="Times New Roman" w:hAnsi="Times New Roman" w:eastAsia="宋体" w:cs="Times New Roman"/>
          <w:color w:val="auto"/>
          <w:spacing w:val="-2"/>
          <w:sz w:val="28"/>
          <w:szCs w:val="22"/>
          <w:lang w:val="zh-CN" w:eastAsia="zh-CN" w:bidi="zh-CN"/>
        </w:rPr>
        <w:t>4.3专业核心课程表</w:t>
      </w:r>
    </w:p>
    <w:p w14:paraId="403F069A">
      <w:pPr>
        <w:spacing w:before="4"/>
        <w:rPr>
          <w:rFonts w:ascii="Times New Roman" w:hAnsi="Times New Roman" w:cs="Times New Roman"/>
          <w:color w:val="auto"/>
          <w:sz w:val="10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7"/>
        <w:gridCol w:w="1392"/>
        <w:gridCol w:w="1332"/>
        <w:gridCol w:w="3415"/>
        <w:gridCol w:w="1238"/>
      </w:tblGrid>
      <w:tr w14:paraId="658FAC5B">
        <w:trPr>
          <w:trHeight w:val="851" w:hRule="atLeast"/>
        </w:trPr>
        <w:tc>
          <w:tcPr>
            <w:tcW w:w="2197" w:type="dxa"/>
            <w:noWrap w:val="0"/>
            <w:vAlign w:val="center"/>
          </w:tcPr>
          <w:p w14:paraId="0800EC7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</w:rPr>
            </w:pPr>
          </w:p>
          <w:p w14:paraId="087E0F2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课程名称</w:t>
            </w:r>
          </w:p>
        </w:tc>
        <w:tc>
          <w:tcPr>
            <w:tcW w:w="1392" w:type="dxa"/>
            <w:noWrap w:val="0"/>
            <w:vAlign w:val="center"/>
          </w:tcPr>
          <w:p w14:paraId="7203F00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12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课程总学时</w:t>
            </w:r>
          </w:p>
        </w:tc>
        <w:tc>
          <w:tcPr>
            <w:tcW w:w="1332" w:type="dxa"/>
            <w:noWrap w:val="0"/>
            <w:vAlign w:val="center"/>
          </w:tcPr>
          <w:p w14:paraId="613CB55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 w:firstLine="12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课程周学时</w:t>
            </w:r>
          </w:p>
        </w:tc>
        <w:tc>
          <w:tcPr>
            <w:tcW w:w="3415" w:type="dxa"/>
            <w:noWrap w:val="0"/>
            <w:vAlign w:val="center"/>
          </w:tcPr>
          <w:p w14:paraId="6D69F03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</w:rPr>
            </w:pPr>
          </w:p>
          <w:p w14:paraId="32579A3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拟授课教师</w:t>
            </w:r>
          </w:p>
        </w:tc>
        <w:tc>
          <w:tcPr>
            <w:tcW w:w="1238" w:type="dxa"/>
            <w:noWrap w:val="0"/>
            <w:vAlign w:val="center"/>
          </w:tcPr>
          <w:p w14:paraId="4274CAD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</w:rPr>
            </w:pPr>
          </w:p>
          <w:p w14:paraId="4424D58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授课学期</w:t>
            </w:r>
          </w:p>
        </w:tc>
      </w:tr>
      <w:tr w14:paraId="1EE1A989">
        <w:trPr>
          <w:trHeight w:val="480" w:hRule="atLeast"/>
        </w:trPr>
        <w:tc>
          <w:tcPr>
            <w:tcW w:w="2197" w:type="dxa"/>
            <w:noWrap w:val="0"/>
            <w:vAlign w:val="center"/>
          </w:tcPr>
          <w:p w14:paraId="1A15F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国际投资法</w:t>
            </w:r>
          </w:p>
        </w:tc>
        <w:tc>
          <w:tcPr>
            <w:tcW w:w="1392" w:type="dxa"/>
            <w:noWrap w:val="0"/>
            <w:vAlign w:val="center"/>
          </w:tcPr>
          <w:p w14:paraId="36DDDD9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32" w:type="dxa"/>
            <w:noWrap w:val="0"/>
            <w:vAlign w:val="center"/>
          </w:tcPr>
          <w:p w14:paraId="55A3C60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15" w:type="dxa"/>
            <w:noWrap w:val="0"/>
            <w:vAlign w:val="center"/>
          </w:tcPr>
          <w:p w14:paraId="4C546AE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丁洁、张远</w:t>
            </w:r>
          </w:p>
        </w:tc>
        <w:tc>
          <w:tcPr>
            <w:tcW w:w="1238" w:type="dxa"/>
            <w:noWrap w:val="0"/>
            <w:vAlign w:val="center"/>
          </w:tcPr>
          <w:p w14:paraId="1D0BAF0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08F02008">
        <w:trPr>
          <w:trHeight w:val="481" w:hRule="atLeast"/>
        </w:trPr>
        <w:tc>
          <w:tcPr>
            <w:tcW w:w="2197" w:type="dxa"/>
            <w:noWrap w:val="0"/>
            <w:vAlign w:val="center"/>
          </w:tcPr>
          <w:p w14:paraId="05D5D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国际私法</w:t>
            </w:r>
          </w:p>
        </w:tc>
        <w:tc>
          <w:tcPr>
            <w:tcW w:w="1392" w:type="dxa"/>
            <w:noWrap w:val="0"/>
            <w:vAlign w:val="center"/>
          </w:tcPr>
          <w:p w14:paraId="2A5A59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32" w:type="dxa"/>
            <w:noWrap w:val="0"/>
            <w:vAlign w:val="center"/>
          </w:tcPr>
          <w:p w14:paraId="50B4050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15" w:type="dxa"/>
            <w:noWrap w:val="0"/>
            <w:vAlign w:val="center"/>
          </w:tcPr>
          <w:p w14:paraId="4EDF8A0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孙群、吴晓燕</w:t>
            </w:r>
          </w:p>
        </w:tc>
        <w:tc>
          <w:tcPr>
            <w:tcW w:w="1238" w:type="dxa"/>
            <w:noWrap w:val="0"/>
            <w:vAlign w:val="center"/>
          </w:tcPr>
          <w:p w14:paraId="58128C9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 w14:paraId="6CA1795E">
        <w:trPr>
          <w:trHeight w:val="481" w:hRule="atLeast"/>
        </w:trPr>
        <w:tc>
          <w:tcPr>
            <w:tcW w:w="2197" w:type="dxa"/>
            <w:noWrap w:val="0"/>
            <w:vAlign w:val="center"/>
          </w:tcPr>
          <w:p w14:paraId="1F2A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亚欧区域国际经济法</w:t>
            </w:r>
          </w:p>
        </w:tc>
        <w:tc>
          <w:tcPr>
            <w:tcW w:w="1392" w:type="dxa"/>
            <w:noWrap w:val="0"/>
            <w:vAlign w:val="center"/>
          </w:tcPr>
          <w:p w14:paraId="21CD9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32" w:type="dxa"/>
            <w:noWrap w:val="0"/>
            <w:vAlign w:val="center"/>
          </w:tcPr>
          <w:p w14:paraId="407EBE4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15" w:type="dxa"/>
            <w:noWrap w:val="0"/>
            <w:vAlign w:val="center"/>
          </w:tcPr>
          <w:p w14:paraId="5651F9A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阿不都热合曼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卡德尔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、董梅</w:t>
            </w:r>
          </w:p>
        </w:tc>
        <w:tc>
          <w:tcPr>
            <w:tcW w:w="1238" w:type="dxa"/>
            <w:noWrap w:val="0"/>
            <w:vAlign w:val="center"/>
          </w:tcPr>
          <w:p w14:paraId="72D3E6A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</w:tr>
      <w:tr w14:paraId="5F838F3B">
        <w:trPr>
          <w:trHeight w:val="481" w:hRule="atLeast"/>
        </w:trPr>
        <w:tc>
          <w:tcPr>
            <w:tcW w:w="2197" w:type="dxa"/>
            <w:noWrap w:val="0"/>
            <w:vAlign w:val="center"/>
          </w:tcPr>
          <w:p w14:paraId="552CC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国际民商事争议解决法</w:t>
            </w:r>
          </w:p>
        </w:tc>
        <w:tc>
          <w:tcPr>
            <w:tcW w:w="1392" w:type="dxa"/>
            <w:noWrap w:val="0"/>
            <w:vAlign w:val="center"/>
          </w:tcPr>
          <w:p w14:paraId="18DF1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32" w:type="dxa"/>
            <w:noWrap w:val="0"/>
            <w:vAlign w:val="center"/>
          </w:tcPr>
          <w:p w14:paraId="3E74439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15" w:type="dxa"/>
            <w:noWrap w:val="0"/>
            <w:vAlign w:val="center"/>
          </w:tcPr>
          <w:p w14:paraId="13F4479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吴晓燕、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吐热尼萨·萨丁、阿梅娜·阿布力米提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、石娟</w:t>
            </w:r>
          </w:p>
        </w:tc>
        <w:tc>
          <w:tcPr>
            <w:tcW w:w="1238" w:type="dxa"/>
            <w:noWrap w:val="0"/>
            <w:vAlign w:val="center"/>
          </w:tcPr>
          <w:p w14:paraId="108135A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</w:tr>
      <w:tr w14:paraId="26E89C23">
        <w:trPr>
          <w:trHeight w:val="481" w:hRule="atLeast"/>
        </w:trPr>
        <w:tc>
          <w:tcPr>
            <w:tcW w:w="2197" w:type="dxa"/>
            <w:noWrap w:val="0"/>
            <w:vAlign w:val="center"/>
          </w:tcPr>
          <w:p w14:paraId="741A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国际金融法</w:t>
            </w:r>
          </w:p>
        </w:tc>
        <w:tc>
          <w:tcPr>
            <w:tcW w:w="1392" w:type="dxa"/>
            <w:noWrap w:val="0"/>
            <w:vAlign w:val="center"/>
          </w:tcPr>
          <w:p w14:paraId="4A1F0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32" w:type="dxa"/>
            <w:noWrap w:val="0"/>
            <w:vAlign w:val="center"/>
          </w:tcPr>
          <w:p w14:paraId="5475931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15" w:type="dxa"/>
            <w:noWrap w:val="0"/>
            <w:vAlign w:val="center"/>
          </w:tcPr>
          <w:p w14:paraId="4BACA4C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丁洁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、强国令、张兴权</w:t>
            </w:r>
          </w:p>
        </w:tc>
        <w:tc>
          <w:tcPr>
            <w:tcW w:w="1238" w:type="dxa"/>
            <w:noWrap w:val="0"/>
            <w:vAlign w:val="center"/>
          </w:tcPr>
          <w:p w14:paraId="07F0029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</w:tr>
      <w:tr w14:paraId="41DE2A96">
        <w:trPr>
          <w:trHeight w:val="481" w:hRule="atLeast"/>
        </w:trPr>
        <w:tc>
          <w:tcPr>
            <w:tcW w:w="2197" w:type="dxa"/>
            <w:noWrap w:val="0"/>
            <w:vAlign w:val="center"/>
          </w:tcPr>
          <w:p w14:paraId="5A355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国际环境法</w:t>
            </w:r>
          </w:p>
        </w:tc>
        <w:tc>
          <w:tcPr>
            <w:tcW w:w="1392" w:type="dxa"/>
            <w:noWrap w:val="0"/>
            <w:vAlign w:val="center"/>
          </w:tcPr>
          <w:p w14:paraId="3A6B2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32" w:type="dxa"/>
            <w:noWrap w:val="0"/>
            <w:vAlign w:val="center"/>
          </w:tcPr>
          <w:p w14:paraId="2D38022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15" w:type="dxa"/>
            <w:noWrap w:val="0"/>
            <w:vAlign w:val="center"/>
          </w:tcPr>
          <w:p w14:paraId="53F1B9F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李倩薇、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/>
              </w:rPr>
              <w:t>地丽格娜·地里夏提</w:t>
            </w:r>
            <w:r>
              <w:rPr>
                <w:rFonts w:hint="eastAsia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、袁明东</w:t>
            </w:r>
          </w:p>
        </w:tc>
        <w:tc>
          <w:tcPr>
            <w:tcW w:w="1238" w:type="dxa"/>
            <w:noWrap w:val="0"/>
            <w:vAlign w:val="center"/>
          </w:tcPr>
          <w:p w14:paraId="1683F83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</w:tr>
      <w:tr w14:paraId="31832A61">
        <w:trPr>
          <w:trHeight w:val="481" w:hRule="atLeast"/>
        </w:trPr>
        <w:tc>
          <w:tcPr>
            <w:tcW w:w="2197" w:type="dxa"/>
            <w:noWrap w:val="0"/>
            <w:vAlign w:val="center"/>
          </w:tcPr>
          <w:p w14:paraId="6B7E464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国际组织法</w:t>
            </w:r>
          </w:p>
        </w:tc>
        <w:tc>
          <w:tcPr>
            <w:tcW w:w="1392" w:type="dxa"/>
            <w:noWrap w:val="0"/>
            <w:vAlign w:val="center"/>
          </w:tcPr>
          <w:p w14:paraId="5C077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32" w:type="dxa"/>
            <w:noWrap w:val="0"/>
            <w:vAlign w:val="center"/>
          </w:tcPr>
          <w:p w14:paraId="0568EAC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415" w:type="dxa"/>
            <w:noWrap w:val="0"/>
            <w:vAlign w:val="center"/>
          </w:tcPr>
          <w:p w14:paraId="547611D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阿不都热合曼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卡德尔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、李倩薇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、袁明东</w:t>
            </w:r>
          </w:p>
        </w:tc>
        <w:tc>
          <w:tcPr>
            <w:tcW w:w="1238" w:type="dxa"/>
            <w:noWrap w:val="0"/>
            <w:vAlign w:val="center"/>
          </w:tcPr>
          <w:p w14:paraId="3DE1B3A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</w:tr>
      <w:tr w14:paraId="019BDDCE">
        <w:trPr>
          <w:trHeight w:val="481" w:hRule="atLeast"/>
        </w:trPr>
        <w:tc>
          <w:tcPr>
            <w:tcW w:w="2197" w:type="dxa"/>
            <w:noWrap w:val="0"/>
            <w:vAlign w:val="center"/>
          </w:tcPr>
          <w:p w14:paraId="595A7E3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国际经济法</w:t>
            </w:r>
          </w:p>
        </w:tc>
        <w:tc>
          <w:tcPr>
            <w:tcW w:w="1392" w:type="dxa"/>
            <w:noWrap w:val="0"/>
            <w:vAlign w:val="center"/>
          </w:tcPr>
          <w:p w14:paraId="63D4E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332" w:type="dxa"/>
            <w:noWrap w:val="0"/>
            <w:vAlign w:val="center"/>
          </w:tcPr>
          <w:p w14:paraId="7E56BF3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15" w:type="dxa"/>
            <w:noWrap w:val="0"/>
            <w:vAlign w:val="center"/>
          </w:tcPr>
          <w:p w14:paraId="39C7586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丁洁、张远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、袁培</w:t>
            </w:r>
          </w:p>
        </w:tc>
        <w:tc>
          <w:tcPr>
            <w:tcW w:w="1238" w:type="dxa"/>
            <w:noWrap w:val="0"/>
            <w:vAlign w:val="center"/>
          </w:tcPr>
          <w:p w14:paraId="3D77397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</w:tr>
    </w:tbl>
    <w:p w14:paraId="47C13967">
      <w:pPr>
        <w:pStyle w:val="2"/>
        <w:ind w:left="0" w:firstLine="0"/>
        <w:jc w:val="both"/>
        <w:rPr>
          <w:rFonts w:ascii="Times New Roman" w:hAnsi="Times New Roman" w:cs="Times New Roman"/>
          <w:color w:val="auto"/>
        </w:rPr>
      </w:pPr>
    </w:p>
    <w:p w14:paraId="0C2C592C">
      <w:pPr>
        <w:pStyle w:val="2"/>
        <w:ind w:left="0" w:firstLine="0"/>
        <w:rPr>
          <w:rFonts w:ascii="Times New Roman" w:hAnsi="Times New Roman" w:cs="Times New Roman"/>
          <w:color w:val="auto"/>
        </w:rPr>
      </w:pPr>
    </w:p>
    <w:p w14:paraId="6B56A523">
      <w:pPr>
        <w:pStyle w:val="2"/>
        <w:ind w:left="0" w:firstLine="0"/>
        <w:rPr>
          <w:rFonts w:ascii="Times New Roman" w:hAnsi="Times New Roman" w:cs="Times New Roman"/>
          <w:color w:val="auto"/>
        </w:rPr>
      </w:pPr>
    </w:p>
    <w:p w14:paraId="3A766C17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F6CE6F6">
      <w:pPr>
        <w:rPr>
          <w:rFonts w:ascii="Times New Roman" w:hAnsi="Times New Roman" w:cs="Times New Roman"/>
          <w:color w:val="auto"/>
        </w:rPr>
      </w:pPr>
    </w:p>
    <w:p w14:paraId="21D919D7">
      <w:pPr>
        <w:pStyle w:val="2"/>
        <w:ind w:left="0" w:firstLine="0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</w:rPr>
        <w:t>5.专业主要带头人简介</w:t>
      </w:r>
      <w:bookmarkEnd w:id="0"/>
      <w:r>
        <w:rPr>
          <w:rFonts w:hint="eastAsia"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1</w:t>
      </w:r>
      <w:r>
        <w:rPr>
          <w:rFonts w:hint="eastAsia" w:ascii="Times New Roman" w:hAnsi="Times New Roman" w:cs="Times New Roman"/>
          <w:color w:val="auto"/>
          <w:lang w:val="en-US"/>
        </w:rPr>
        <w:t>）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4"/>
        <w:gridCol w:w="991"/>
        <w:gridCol w:w="878"/>
        <w:gridCol w:w="1459"/>
        <w:gridCol w:w="257"/>
        <w:gridCol w:w="1113"/>
        <w:gridCol w:w="1181"/>
        <w:gridCol w:w="47"/>
        <w:gridCol w:w="991"/>
      </w:tblGrid>
      <w:tr w14:paraId="130E5208">
        <w:trPr>
          <w:trHeight w:val="730" w:hRule="atLeast"/>
        </w:trPr>
        <w:tc>
          <w:tcPr>
            <w:tcW w:w="960" w:type="dxa"/>
            <w:vAlign w:val="center"/>
          </w:tcPr>
          <w:p w14:paraId="0B1FD70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 w14:paraId="73FF6B7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沈子华</w:t>
            </w:r>
          </w:p>
        </w:tc>
        <w:tc>
          <w:tcPr>
            <w:tcW w:w="1245" w:type="dxa"/>
            <w:gridSpan w:val="2"/>
            <w:vAlign w:val="center"/>
          </w:tcPr>
          <w:p w14:paraId="5458B87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性别</w:t>
            </w:r>
          </w:p>
        </w:tc>
        <w:tc>
          <w:tcPr>
            <w:tcW w:w="878" w:type="dxa"/>
            <w:vAlign w:val="center"/>
          </w:tcPr>
          <w:p w14:paraId="6A0641B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女</w:t>
            </w:r>
          </w:p>
        </w:tc>
        <w:tc>
          <w:tcPr>
            <w:tcW w:w="1716" w:type="dxa"/>
            <w:gridSpan w:val="2"/>
            <w:vAlign w:val="center"/>
          </w:tcPr>
          <w:p w14:paraId="26B9EBC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专业技术职务</w:t>
            </w:r>
          </w:p>
        </w:tc>
        <w:tc>
          <w:tcPr>
            <w:tcW w:w="1113" w:type="dxa"/>
            <w:vAlign w:val="center"/>
          </w:tcPr>
          <w:p w14:paraId="7B27DCD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教授</w:t>
            </w:r>
          </w:p>
        </w:tc>
        <w:tc>
          <w:tcPr>
            <w:tcW w:w="1228" w:type="dxa"/>
            <w:gridSpan w:val="2"/>
            <w:vAlign w:val="center"/>
          </w:tcPr>
          <w:p w14:paraId="3C385A8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行政职务</w:t>
            </w:r>
          </w:p>
        </w:tc>
        <w:tc>
          <w:tcPr>
            <w:tcW w:w="991" w:type="dxa"/>
            <w:vAlign w:val="center"/>
          </w:tcPr>
          <w:p w14:paraId="3DFA372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lang w:val="en-US" w:eastAsia="zh-CN"/>
              </w:rPr>
              <w:t>无</w:t>
            </w:r>
          </w:p>
        </w:tc>
      </w:tr>
      <w:tr w14:paraId="6FCB3D03">
        <w:trPr>
          <w:trHeight w:val="726" w:hRule="atLeast"/>
        </w:trPr>
        <w:tc>
          <w:tcPr>
            <w:tcW w:w="960" w:type="dxa"/>
            <w:vAlign w:val="center"/>
          </w:tcPr>
          <w:p w14:paraId="1B8CF90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拟承担课程</w:t>
            </w:r>
          </w:p>
        </w:tc>
        <w:tc>
          <w:tcPr>
            <w:tcW w:w="3561" w:type="dxa"/>
            <w:gridSpan w:val="4"/>
            <w:vAlign w:val="center"/>
          </w:tcPr>
          <w:p w14:paraId="6EDD18E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国际法</w:t>
            </w:r>
          </w:p>
        </w:tc>
        <w:tc>
          <w:tcPr>
            <w:tcW w:w="1716" w:type="dxa"/>
            <w:gridSpan w:val="2"/>
            <w:vAlign w:val="center"/>
          </w:tcPr>
          <w:p w14:paraId="507508E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现在所在单位</w:t>
            </w:r>
          </w:p>
        </w:tc>
        <w:tc>
          <w:tcPr>
            <w:tcW w:w="3332" w:type="dxa"/>
            <w:gridSpan w:val="4"/>
            <w:vAlign w:val="center"/>
          </w:tcPr>
          <w:p w14:paraId="1EE68A0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新疆财经大学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法学院</w:t>
            </w:r>
          </w:p>
        </w:tc>
      </w:tr>
      <w:tr w14:paraId="7C958513">
        <w:trPr>
          <w:trHeight w:val="879" w:hRule="atLeast"/>
        </w:trPr>
        <w:tc>
          <w:tcPr>
            <w:tcW w:w="2652" w:type="dxa"/>
            <w:gridSpan w:val="3"/>
            <w:vAlign w:val="center"/>
          </w:tcPr>
          <w:p w14:paraId="28129BB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最后学历毕业时间、学校、专业</w:t>
            </w:r>
          </w:p>
        </w:tc>
        <w:tc>
          <w:tcPr>
            <w:tcW w:w="6917" w:type="dxa"/>
            <w:gridSpan w:val="8"/>
            <w:vAlign w:val="center"/>
          </w:tcPr>
          <w:p w14:paraId="5CE275C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博士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2013.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中国人民大学</w:t>
            </w:r>
            <w:r>
              <w:rPr>
                <w:rFonts w:hint="eastAsia" w:cs="宋体"/>
                <w:color w:val="auto"/>
                <w:sz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宪法与行政法学专业</w:t>
            </w:r>
          </w:p>
        </w:tc>
      </w:tr>
      <w:tr w14:paraId="741082E2">
        <w:trPr>
          <w:trHeight w:val="596" w:hRule="atLeast"/>
        </w:trPr>
        <w:tc>
          <w:tcPr>
            <w:tcW w:w="2652" w:type="dxa"/>
            <w:gridSpan w:val="3"/>
            <w:vAlign w:val="center"/>
          </w:tcPr>
          <w:p w14:paraId="3D8783E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主要研究方向</w:t>
            </w:r>
          </w:p>
        </w:tc>
        <w:tc>
          <w:tcPr>
            <w:tcW w:w="6917" w:type="dxa"/>
            <w:gridSpan w:val="8"/>
            <w:vAlign w:val="center"/>
          </w:tcPr>
          <w:p w14:paraId="05AF1A9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国际法</w:t>
            </w:r>
          </w:p>
        </w:tc>
      </w:tr>
      <w:tr w14:paraId="2DDE8485">
        <w:trPr>
          <w:trHeight w:val="1247" w:hRule="atLeast"/>
        </w:trPr>
        <w:tc>
          <w:tcPr>
            <w:tcW w:w="2652" w:type="dxa"/>
            <w:gridSpan w:val="3"/>
            <w:vAlign w:val="center"/>
          </w:tcPr>
          <w:p w14:paraId="03EC3C8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从事教育教学改革研究及获奖情况（含教改项目、研究论文、慕课、</w:t>
            </w:r>
          </w:p>
          <w:p w14:paraId="56813FD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教材等）</w:t>
            </w:r>
          </w:p>
        </w:tc>
        <w:tc>
          <w:tcPr>
            <w:tcW w:w="6917" w:type="dxa"/>
            <w:gridSpan w:val="8"/>
            <w:vAlign w:val="center"/>
          </w:tcPr>
          <w:p w14:paraId="1F24C84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  <w:p w14:paraId="625AA11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1.2024年，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“中亚法制·检索查明·法律服务”：丝绸之路经济带法务区涉外法治高质量发展创新机制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获得教育部学位与研究生发展中心年度主题案例库的立项；</w:t>
            </w:r>
          </w:p>
          <w:p w14:paraId="33B0B81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2023年，《宪法学》课程获得第二批自治区一流本科课程建设；</w:t>
            </w:r>
          </w:p>
          <w:p w14:paraId="02CFDAF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.2023年，《宪法学课程组虚拟教研室》获得新疆财经大学虚拟教研室建设点立项；</w:t>
            </w:r>
          </w:p>
          <w:p w14:paraId="442A1F1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.2023年，《一体二元三维 服务治疆方略的数智法治人才培养模式探索与实践》获得新疆财经大学教学成果三等奖；</w:t>
            </w:r>
          </w:p>
          <w:p w14:paraId="54C4984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.2023年，主持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校级研究生精品课程：《宪法学》课程及主文献库建设；</w:t>
            </w:r>
          </w:p>
          <w:p w14:paraId="778DE2B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.2022年，《地方法治资源融入宪法学课程体系的教学特色改革研究》，获得校级教改项目立项；</w:t>
            </w:r>
          </w:p>
          <w:p w14:paraId="507E4E6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.2022年，《湛江喜强工业气体有限公司诉 5县住房和城乡规划建设局土地利用总体规划案》，入选新疆财经大学本科教学案例库；</w:t>
            </w:r>
          </w:p>
          <w:p w14:paraId="14F37FC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.2021年，《新疆系列反恐案例的宪法学分析》，入选新疆财经大学研究生教学案例库；</w:t>
            </w:r>
          </w:p>
          <w:p w14:paraId="0EC3BDA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TW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TW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TW" w:eastAsia="zh-CN"/>
              </w:rPr>
              <w:t>年，《宪法学》获准校级“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线下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TW" w:eastAsia="zh-CN"/>
              </w:rPr>
              <w:t>金课”立项，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2020年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TW" w:eastAsia="zh-CN"/>
              </w:rPr>
              <w:t>顺利通过验收和结项；</w:t>
            </w:r>
          </w:p>
          <w:p w14:paraId="546322C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zh-TW" w:eastAsia="zh-CN"/>
              </w:rPr>
            </w:pPr>
          </w:p>
        </w:tc>
      </w:tr>
      <w:tr w14:paraId="072A8A36">
        <w:trPr>
          <w:trHeight w:val="843" w:hRule="atLeast"/>
        </w:trPr>
        <w:tc>
          <w:tcPr>
            <w:tcW w:w="2652" w:type="dxa"/>
            <w:gridSpan w:val="3"/>
            <w:vAlign w:val="center"/>
          </w:tcPr>
          <w:p w14:paraId="691D70B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36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从事科学研究及获奖情况</w:t>
            </w:r>
          </w:p>
        </w:tc>
        <w:tc>
          <w:tcPr>
            <w:tcW w:w="6917" w:type="dxa"/>
            <w:gridSpan w:val="8"/>
            <w:vAlign w:val="center"/>
          </w:tcPr>
          <w:p w14:paraId="342988B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364CC62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主持国家社科基金课题1项、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省部级项目4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厅局级项目3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项；出版学术专著1部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独著《宪法与条约关系研究》获得自治区十三届哲学社会科学一等奖；在《法学论坛》、《河北法学》、《国家行政学院学报》、《新疆大学学报》、《新疆社会科学》、《黑龙江民族丛刊》、《行政论坛》、《吉首大学学报》、《新疆财经大学学报》、《新疆社科论坛》、《上海政法学院学报》、《实事求是》等期刊上发表多篇学术论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。</w:t>
            </w:r>
          </w:p>
          <w:p w14:paraId="773E5D1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 w14:paraId="5D6A2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 w:bidi="zh-CN"/>
              </w:rPr>
              <w:t>（一）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著作：</w:t>
            </w:r>
          </w:p>
          <w:p w14:paraId="7E16A28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《宪法与条约关系研究》，独著，知识产权出版社2018年版；</w:t>
            </w:r>
          </w:p>
          <w:p w14:paraId="4C14DDD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</w:pPr>
          </w:p>
          <w:p w14:paraId="13051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主持项目：</w:t>
            </w:r>
          </w:p>
          <w:p w14:paraId="6CCD7E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 w:bidi="zh-CN"/>
              </w:rPr>
              <w:t>1.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主持自治区社科基金课题《反恐维稳视阈下南疆乡镇基层公共法律服务体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系的调查及对策研究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[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2017BFX037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](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201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.12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)</w:t>
            </w:r>
          </w:p>
          <w:p w14:paraId="4BD737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 w:bidi="zh-CN"/>
              </w:rPr>
              <w:t>2.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主持国家社科基金课题《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反恐地方立法的优化研究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》[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20BFX061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]（2020.10）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；</w:t>
            </w:r>
          </w:p>
          <w:p w14:paraId="7DA642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zh-CN" w:eastAsia="zh-CN" w:bidi="zh-CN"/>
              </w:rPr>
              <w:t>3.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主持自治区社科联课题《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全面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依法治疆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研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究”》[2022ZJFLW01]（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2022.03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；</w:t>
            </w:r>
          </w:p>
          <w:p w14:paraId="61F71A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zh-CN" w:eastAsia="zh-CN" w:bidi="zh-CN"/>
              </w:rPr>
              <w:t>4.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主持自治区人民政府依法治疆委员会课题《</w:t>
            </w:r>
            <w:r>
              <w:rPr>
                <w:rFonts w:hint="eastAsia" w:ascii="宋体" w:hAnsi="宋体"/>
                <w:color w:val="auto"/>
                <w:sz w:val="21"/>
                <w:szCs w:val="21"/>
              </w:rPr>
              <w:t>新疆反恐维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稳新形势及法治化对策研究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》[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23XJ114]（2023.06）；</w:t>
            </w:r>
          </w:p>
          <w:p w14:paraId="2F404E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zh-CN" w:eastAsia="zh-CN" w:bidi="zh-CN"/>
              </w:rPr>
              <w:t>5.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主持新疆财经大学校地合作招标课题《中哈霍尔果斯国际边境合作区运行创新体制机制研究》(2023.09)；</w:t>
            </w:r>
          </w:p>
          <w:p w14:paraId="77EF43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zh-CN" w:eastAsia="zh-CN" w:bidi="zh-CN"/>
              </w:rPr>
              <w:t>6.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主持自治区社科基金课题《新疆自贸区经济社会管理权下放制度创新研究》[2024BFX067]（2024.06）；</w:t>
            </w:r>
          </w:p>
          <w:p w14:paraId="7E5248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 w:bidi="zh-CN"/>
              </w:rPr>
              <w:t>7.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  <w:t>主持自治区社科联课题《新疆建设丝绸之路经济带法务区实践路径研究》”[2024ZJFLY05](2024.07)；</w:t>
            </w:r>
          </w:p>
          <w:p w14:paraId="46B39A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/>
              </w:rPr>
            </w:pPr>
          </w:p>
          <w:p w14:paraId="719650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（三）C刊论文：</w:t>
            </w:r>
          </w:p>
          <w:p w14:paraId="3CB5CA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lang w:val="en-US" w:eastAsia="zh-CN" w:bidi="zh-CN"/>
              </w:rPr>
              <w:t>1.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</w:rPr>
              <w:t>“一带一路”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协议规则的国内适用机制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》（法学论坛）</w:t>
            </w:r>
          </w:p>
          <w:p w14:paraId="6D47C4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auto"/>
                <w:sz w:val="21"/>
                <w:szCs w:val="21"/>
                <w:lang w:val="en-US" w:eastAsia="zh-CN" w:bidi="zh-CN"/>
              </w:rPr>
              <w:t>2.</w:t>
            </w:r>
            <w:r>
              <w:rPr>
                <w:rFonts w:hint="eastAsia"/>
                <w:bCs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法院解释条约的原理与中国机制的构建</w:t>
            </w:r>
            <w:r>
              <w:rPr>
                <w:rFonts w:hint="eastAsia"/>
                <w:bCs/>
                <w:color w:val="auto"/>
                <w:sz w:val="21"/>
                <w:szCs w:val="21"/>
                <w:lang w:eastAsia="zh-CN"/>
              </w:rPr>
              <w:t>》（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河北法学</w:t>
            </w:r>
            <w:r>
              <w:rPr>
                <w:rFonts w:hint="eastAsia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  <w:p w14:paraId="683837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zh-CN" w:eastAsia="zh-CN" w:bidi="zh-CN"/>
              </w:rPr>
              <w:t>3.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国际条约人权义务条款的国内解释</w:t>
            </w: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》</w:t>
            </w:r>
            <w:r>
              <w:rPr>
                <w:rFonts w:hint="eastAsia"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新疆社会科学</w:t>
            </w:r>
            <w:r>
              <w:rPr>
                <w:rFonts w:hint="eastAsia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  <w:p w14:paraId="1CD6E8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default" w:ascii="宋体" w:hAnsi="宋体" w:eastAsia="宋体" w:cs="Times New Roman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color w:val="auto"/>
                <w:sz w:val="21"/>
                <w:szCs w:val="21"/>
                <w:lang w:val="en-US" w:eastAsia="zh-CN" w:bidi="zh-CN"/>
              </w:rPr>
              <w:t>4.</w:t>
            </w:r>
            <w:r>
              <w:rPr>
                <w:rFonts w:hint="eastAsia"/>
                <w:bCs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/>
                <w:bCs/>
                <w:color w:val="auto"/>
                <w:sz w:val="21"/>
                <w:szCs w:val="21"/>
              </w:rPr>
              <w:t>我国条约批准的运作机制——以《宪法》和《缔结条约程序法》的规定为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</w:rPr>
              <w:t>依据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eastAsia="zh-CN"/>
              </w:rPr>
              <w:t>》（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val="en-US" w:eastAsia="zh-CN"/>
              </w:rPr>
              <w:t>国家行政学院学报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  <w:p w14:paraId="2631AD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default" w:ascii="宋体" w:hAnsi="宋体" w:eastAsia="宋体" w:cs="Times New Roman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color w:val="auto"/>
                <w:sz w:val="21"/>
                <w:szCs w:val="21"/>
                <w:lang w:val="en-US" w:eastAsia="zh-CN" w:bidi="zh-CN"/>
              </w:rPr>
              <w:t>5.</w:t>
            </w:r>
            <w:r>
              <w:rPr>
                <w:rFonts w:hint="eastAsia" w:cs="Times New Roman"/>
                <w:bCs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</w:rPr>
              <w:t>城市市容管理中“私权利”的保护原则</w:t>
            </w:r>
            <w:r>
              <w:rPr>
                <w:rFonts w:hint="eastAsia" w:cs="Times New Roman"/>
                <w:bCs/>
                <w:color w:val="auto"/>
                <w:sz w:val="21"/>
                <w:szCs w:val="21"/>
                <w:lang w:eastAsia="zh-CN"/>
              </w:rPr>
              <w:t>》（</w:t>
            </w:r>
            <w:r>
              <w:rPr>
                <w:rFonts w:hint="eastAsia" w:cs="Times New Roman"/>
                <w:bCs/>
                <w:color w:val="auto"/>
                <w:sz w:val="21"/>
                <w:szCs w:val="21"/>
                <w:lang w:val="en-US" w:eastAsia="zh-CN"/>
              </w:rPr>
              <w:t>行政论坛</w:t>
            </w:r>
            <w:r>
              <w:rPr>
                <w:rFonts w:hint="eastAsia" w:cs="Times New Roman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  <w:p w14:paraId="417C88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default" w:ascii="宋体" w:hAnsi="宋体" w:eastAsia="宋体" w:cs="Times New Roman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bCs/>
                <w:color w:val="auto"/>
                <w:sz w:val="21"/>
                <w:szCs w:val="21"/>
                <w:lang w:val="en-US" w:eastAsia="zh-CN" w:bidi="zh-CN"/>
              </w:rPr>
              <w:t>6.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</w:rPr>
              <w:t>我国“城市社区”的法律释义与实践发展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eastAsia="zh-CN"/>
              </w:rPr>
              <w:t>》（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</w:rPr>
              <w:t>新疆大学学报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  <w:p w14:paraId="4A9F47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Times New Roman"/>
                <w:bCs/>
                <w:color w:val="auto"/>
                <w:sz w:val="21"/>
                <w:szCs w:val="21"/>
                <w:lang w:val="en-US" w:eastAsia="zh-CN" w:bidi="zh-CN"/>
              </w:rPr>
              <w:t>7.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val="zh-CN" w:eastAsia="zh-CN"/>
              </w:rPr>
              <w:t>《理性回归:约束地方政府经济调控行为的法治径路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val="en-US" w:eastAsia="zh-CN"/>
              </w:rPr>
              <w:t>》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</w:rPr>
              <w:t>新疆大学学报</w:t>
            </w:r>
            <w:r>
              <w:rPr>
                <w:rFonts w:hint="eastAsia" w:ascii="宋体" w:hAnsi="宋体" w:eastAsia="宋体" w:cs="Times New Roman"/>
                <w:bCs/>
                <w:color w:val="auto"/>
                <w:sz w:val="21"/>
                <w:szCs w:val="21"/>
                <w:lang w:eastAsia="zh-CN"/>
              </w:rPr>
              <w:t>）</w:t>
            </w:r>
          </w:p>
          <w:p w14:paraId="3110CD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default" w:ascii="宋体" w:hAnsi="宋体" w:eastAsia="宋体" w:cs="Times New Roman"/>
                <w:bCs/>
                <w:color w:val="auto"/>
                <w:sz w:val="21"/>
                <w:szCs w:val="21"/>
                <w:lang w:val="en-US" w:eastAsia="zh-CN"/>
              </w:rPr>
            </w:pPr>
          </w:p>
          <w:p w14:paraId="6594CF32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1"/>
                <w:szCs w:val="21"/>
                <w:lang w:val="en-US" w:eastAsia="zh-CN" w:bidi="zh-CN"/>
              </w:rPr>
              <w:t>（四）获奖：</w:t>
            </w:r>
          </w:p>
          <w:p w14:paraId="049D965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2014年获新疆财经大学第十届哲学社会科学优秀成果二等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；</w:t>
            </w:r>
          </w:p>
          <w:p w14:paraId="729C865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2016年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新疆财经大学十一届哲学社会科学优秀成果三等奖；</w:t>
            </w:r>
          </w:p>
          <w:p w14:paraId="05D13AB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2019年获新疆社会科学界联合会青年学者论坛优秀论文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；</w:t>
            </w:r>
          </w:p>
          <w:p w14:paraId="6B053DF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2019年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获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中国法学会宪法学研究会年度优秀论文；</w:t>
            </w:r>
          </w:p>
          <w:p w14:paraId="424A297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2021年荣获新疆财经大学第十三届哲学社会科学奖科研标兵三等奖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；</w:t>
            </w:r>
          </w:p>
          <w:p w14:paraId="7E72A3E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2021年荣获新疆财经大学第十三届哲学社会科学学术论文类三等奖；</w:t>
            </w:r>
          </w:p>
          <w:p w14:paraId="37FD7EA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2022年荣获新疆第十三届哲学社会科学奖著作类一等奖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；</w:t>
            </w:r>
          </w:p>
          <w:p w14:paraId="2B50D11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8.2023年，获得新疆财经大学“学术带头人”称号。</w:t>
            </w:r>
          </w:p>
          <w:p w14:paraId="36E69CE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</w:p>
        </w:tc>
      </w:tr>
      <w:tr w14:paraId="5D62FEC9">
        <w:trPr>
          <w:trHeight w:val="812" w:hRule="atLeast"/>
        </w:trPr>
        <w:tc>
          <w:tcPr>
            <w:tcW w:w="2652" w:type="dxa"/>
            <w:gridSpan w:val="3"/>
            <w:vAlign w:val="center"/>
          </w:tcPr>
          <w:p w14:paraId="3BEDB57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33" w:leftChars="50" w:right="110" w:rightChars="50" w:hanging="23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近三年获得教学研究经费（万元）</w:t>
            </w:r>
          </w:p>
        </w:tc>
        <w:tc>
          <w:tcPr>
            <w:tcW w:w="3328" w:type="dxa"/>
            <w:gridSpan w:val="3"/>
            <w:vAlign w:val="center"/>
          </w:tcPr>
          <w:p w14:paraId="629C36E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2551" w:type="dxa"/>
            <w:gridSpan w:val="3"/>
            <w:vAlign w:val="center"/>
          </w:tcPr>
          <w:p w14:paraId="32389D2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33" w:leftChars="50" w:right="110" w:rightChars="50" w:hanging="23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近三年获得科学研究经费（万元）</w:t>
            </w:r>
          </w:p>
        </w:tc>
        <w:tc>
          <w:tcPr>
            <w:tcW w:w="1038" w:type="dxa"/>
            <w:gridSpan w:val="2"/>
            <w:vAlign w:val="center"/>
          </w:tcPr>
          <w:p w14:paraId="58D54D9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35</w:t>
            </w:r>
          </w:p>
        </w:tc>
      </w:tr>
      <w:tr w14:paraId="62F5DA71">
        <w:trPr>
          <w:trHeight w:val="890" w:hRule="atLeast"/>
        </w:trPr>
        <w:tc>
          <w:tcPr>
            <w:tcW w:w="2652" w:type="dxa"/>
            <w:gridSpan w:val="3"/>
            <w:vAlign w:val="center"/>
          </w:tcPr>
          <w:p w14:paraId="2A43805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近三年给本科生授课课程及学时数</w:t>
            </w:r>
          </w:p>
        </w:tc>
        <w:tc>
          <w:tcPr>
            <w:tcW w:w="3328" w:type="dxa"/>
            <w:gridSpan w:val="3"/>
            <w:vAlign w:val="center"/>
          </w:tcPr>
          <w:p w14:paraId="0A38108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lang w:val="en-US" w:eastAsia="zh-CN"/>
              </w:rPr>
              <w:t>《国际法》144学时；《宪法学》36学时</w:t>
            </w:r>
          </w:p>
        </w:tc>
        <w:tc>
          <w:tcPr>
            <w:tcW w:w="2551" w:type="dxa"/>
            <w:gridSpan w:val="3"/>
            <w:vAlign w:val="center"/>
          </w:tcPr>
          <w:p w14:paraId="78F1C4C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近三年指导本科毕业设计（人次）</w:t>
            </w:r>
          </w:p>
        </w:tc>
        <w:tc>
          <w:tcPr>
            <w:tcW w:w="1038" w:type="dxa"/>
            <w:gridSpan w:val="2"/>
            <w:vAlign w:val="center"/>
          </w:tcPr>
          <w:p w14:paraId="0060AC0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20</w:t>
            </w:r>
          </w:p>
        </w:tc>
      </w:tr>
    </w:tbl>
    <w:p w14:paraId="5ECB2D05">
      <w:pPr>
        <w:rPr>
          <w:rFonts w:hint="eastAsia"/>
          <w:color w:val="auto"/>
          <w:lang w:val="en-US"/>
        </w:rPr>
      </w:pPr>
    </w:p>
    <w:p w14:paraId="7CC56406">
      <w:pPr>
        <w:ind w:left="458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注：填写三至五人，只填本专业专任教师，每人一表。</w:t>
      </w:r>
    </w:p>
    <w:p w14:paraId="7D37DA19">
      <w:pPr>
        <w:jc w:val="both"/>
        <w:rPr>
          <w:rFonts w:hint="eastAsia" w:ascii="黑体" w:eastAsia="黑体"/>
          <w:color w:val="auto"/>
          <w:sz w:val="36"/>
        </w:rPr>
      </w:pPr>
    </w:p>
    <w:p w14:paraId="17953927">
      <w:pPr>
        <w:jc w:val="both"/>
        <w:rPr>
          <w:rFonts w:hint="eastAsia" w:ascii="黑体" w:eastAsia="黑体"/>
          <w:color w:val="auto"/>
          <w:sz w:val="36"/>
        </w:rPr>
      </w:pPr>
    </w:p>
    <w:p w14:paraId="7FC76A68">
      <w:pPr>
        <w:jc w:val="both"/>
        <w:rPr>
          <w:rFonts w:hint="eastAsia" w:ascii="黑体" w:eastAsia="黑体"/>
          <w:color w:val="auto"/>
          <w:sz w:val="36"/>
        </w:rPr>
      </w:pPr>
    </w:p>
    <w:p w14:paraId="62AE2A06">
      <w:pPr>
        <w:jc w:val="both"/>
        <w:rPr>
          <w:rFonts w:hint="eastAsia" w:ascii="黑体" w:eastAsia="黑体"/>
          <w:color w:val="auto"/>
          <w:sz w:val="36"/>
        </w:rPr>
      </w:pPr>
    </w:p>
    <w:p w14:paraId="1EFD4F09">
      <w:pPr>
        <w:pStyle w:val="2"/>
        <w:ind w:left="0" w:firstLine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专业主要带头人简介</w:t>
      </w:r>
      <w:r>
        <w:rPr>
          <w:rFonts w:hint="eastAsia"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2</w:t>
      </w:r>
      <w:r>
        <w:rPr>
          <w:rFonts w:hint="eastAsia" w:ascii="Times New Roman" w:hAnsi="Times New Roman" w:cs="Times New Roman"/>
          <w:color w:val="auto"/>
          <w:lang w:val="en-US"/>
        </w:rPr>
        <w:t>）</w:t>
      </w:r>
    </w:p>
    <w:tbl>
      <w:tblPr>
        <w:tblStyle w:val="11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4"/>
        <w:gridCol w:w="991"/>
        <w:gridCol w:w="878"/>
        <w:gridCol w:w="1459"/>
        <w:gridCol w:w="257"/>
        <w:gridCol w:w="1113"/>
        <w:gridCol w:w="1181"/>
        <w:gridCol w:w="47"/>
        <w:gridCol w:w="991"/>
      </w:tblGrid>
      <w:tr w14:paraId="0CA74F35">
        <w:trPr>
          <w:trHeight w:val="746" w:hRule="atLeast"/>
          <w:jc w:val="center"/>
        </w:trPr>
        <w:tc>
          <w:tcPr>
            <w:tcW w:w="960" w:type="dxa"/>
            <w:vAlign w:val="center"/>
          </w:tcPr>
          <w:p w14:paraId="76CDD639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 w14:paraId="51A02D43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胡颖</w:t>
            </w:r>
          </w:p>
        </w:tc>
        <w:tc>
          <w:tcPr>
            <w:tcW w:w="1245" w:type="dxa"/>
            <w:gridSpan w:val="2"/>
            <w:vAlign w:val="center"/>
          </w:tcPr>
          <w:p w14:paraId="08F53431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性别</w:t>
            </w:r>
          </w:p>
        </w:tc>
        <w:tc>
          <w:tcPr>
            <w:tcW w:w="878" w:type="dxa"/>
            <w:vAlign w:val="center"/>
          </w:tcPr>
          <w:p w14:paraId="41DFEEE7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女</w:t>
            </w:r>
          </w:p>
        </w:tc>
        <w:tc>
          <w:tcPr>
            <w:tcW w:w="1716" w:type="dxa"/>
            <w:gridSpan w:val="2"/>
            <w:vAlign w:val="center"/>
          </w:tcPr>
          <w:p w14:paraId="46DCE91D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专业技术职务</w:t>
            </w:r>
          </w:p>
        </w:tc>
        <w:tc>
          <w:tcPr>
            <w:tcW w:w="1113" w:type="dxa"/>
            <w:vAlign w:val="center"/>
          </w:tcPr>
          <w:p w14:paraId="23E7C52B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教授</w:t>
            </w:r>
          </w:p>
        </w:tc>
        <w:tc>
          <w:tcPr>
            <w:tcW w:w="1228" w:type="dxa"/>
            <w:gridSpan w:val="2"/>
            <w:vAlign w:val="center"/>
          </w:tcPr>
          <w:p w14:paraId="0D83CEFA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行政职务</w:t>
            </w:r>
          </w:p>
        </w:tc>
        <w:tc>
          <w:tcPr>
            <w:tcW w:w="991" w:type="dxa"/>
            <w:vAlign w:val="center"/>
          </w:tcPr>
          <w:p w14:paraId="14A803D2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无</w:t>
            </w:r>
          </w:p>
        </w:tc>
      </w:tr>
      <w:tr w14:paraId="00C416EE">
        <w:trPr>
          <w:trHeight w:val="853" w:hRule="atLeast"/>
          <w:jc w:val="center"/>
        </w:trPr>
        <w:tc>
          <w:tcPr>
            <w:tcW w:w="960" w:type="dxa"/>
            <w:vAlign w:val="center"/>
          </w:tcPr>
          <w:p w14:paraId="09965569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拟承担课程</w:t>
            </w:r>
          </w:p>
        </w:tc>
        <w:tc>
          <w:tcPr>
            <w:tcW w:w="3561" w:type="dxa"/>
            <w:gridSpan w:val="4"/>
            <w:vAlign w:val="center"/>
          </w:tcPr>
          <w:p w14:paraId="6757569D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国际商事谈判</w:t>
            </w:r>
          </w:p>
        </w:tc>
        <w:tc>
          <w:tcPr>
            <w:tcW w:w="1716" w:type="dxa"/>
            <w:gridSpan w:val="2"/>
            <w:vAlign w:val="center"/>
          </w:tcPr>
          <w:p w14:paraId="1CA2AB17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现在所在单位</w:t>
            </w:r>
          </w:p>
        </w:tc>
        <w:tc>
          <w:tcPr>
            <w:tcW w:w="3332" w:type="dxa"/>
            <w:gridSpan w:val="4"/>
            <w:vAlign w:val="center"/>
          </w:tcPr>
          <w:p w14:paraId="278A53F8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新疆财经大学国贸学院</w:t>
            </w:r>
          </w:p>
        </w:tc>
      </w:tr>
      <w:tr w14:paraId="41F22FAB">
        <w:trPr>
          <w:trHeight w:val="557" w:hRule="atLeast"/>
          <w:jc w:val="center"/>
        </w:trPr>
        <w:tc>
          <w:tcPr>
            <w:tcW w:w="2652" w:type="dxa"/>
            <w:gridSpan w:val="3"/>
            <w:vAlign w:val="center"/>
          </w:tcPr>
          <w:p w14:paraId="7DB06706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-20"/>
                <w:sz w:val="21"/>
                <w:szCs w:val="21"/>
              </w:rPr>
              <w:t>最后学历毕业时间、</w:t>
            </w:r>
            <w:r>
              <w:rPr>
                <w:rFonts w:ascii="Times New Roman" w:hAnsi="Times New Roman" w:cs="Times New Roman"/>
                <w:spacing w:val="-17"/>
                <w:sz w:val="21"/>
                <w:szCs w:val="21"/>
              </w:rPr>
              <w:t>学校、专业</w:t>
            </w:r>
          </w:p>
        </w:tc>
        <w:tc>
          <w:tcPr>
            <w:tcW w:w="6917" w:type="dxa"/>
            <w:gridSpan w:val="8"/>
            <w:vAlign w:val="center"/>
          </w:tcPr>
          <w:p w14:paraId="736D44B8">
            <w:pPr>
              <w:pStyle w:val="13"/>
              <w:ind w:left="110" w:leftChars="50" w:right="110" w:rightChars="50"/>
              <w:jc w:val="center"/>
              <w:rPr>
                <w:rFonts w:hint="eastAsia"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博士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2007年6月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厦门大学</w:t>
            </w:r>
            <w:r>
              <w:rPr>
                <w:rFonts w:hint="eastAsia" w:ascii="Times New Roman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Times New Roman"/>
                <w:sz w:val="21"/>
                <w:szCs w:val="21"/>
                <w:lang w:val="en-US"/>
              </w:rPr>
              <w:t>国际贸易</w:t>
            </w:r>
          </w:p>
        </w:tc>
      </w:tr>
      <w:tr w14:paraId="6F92A976">
        <w:trPr>
          <w:trHeight w:val="429" w:hRule="atLeast"/>
          <w:jc w:val="center"/>
        </w:trPr>
        <w:tc>
          <w:tcPr>
            <w:tcW w:w="2652" w:type="dxa"/>
            <w:gridSpan w:val="3"/>
            <w:vAlign w:val="center"/>
          </w:tcPr>
          <w:p w14:paraId="031B9176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主要研究方向</w:t>
            </w:r>
          </w:p>
        </w:tc>
        <w:tc>
          <w:tcPr>
            <w:tcW w:w="6917" w:type="dxa"/>
            <w:gridSpan w:val="8"/>
            <w:vAlign w:val="center"/>
          </w:tcPr>
          <w:p w14:paraId="53A80347">
            <w:pPr>
              <w:pStyle w:val="13"/>
              <w:ind w:left="110" w:leftChars="50" w:right="110" w:rightChars="50"/>
              <w:jc w:val="center"/>
              <w:rPr>
                <w:rFonts w:hint="eastAsia"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</w:rPr>
              <w:t>国际贸易理论与政策</w:t>
            </w:r>
            <w:r>
              <w:rPr>
                <w:rFonts w:hint="eastAsia" w:ascii="Times New Roman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/>
                <w:sz w:val="21"/>
                <w:szCs w:val="21"/>
              </w:rPr>
              <w:t>中国与欧亚国家经贸合作</w:t>
            </w:r>
          </w:p>
        </w:tc>
      </w:tr>
      <w:tr w14:paraId="5B814DD3">
        <w:trPr>
          <w:trHeight w:val="2136" w:hRule="atLeast"/>
          <w:jc w:val="center"/>
        </w:trPr>
        <w:tc>
          <w:tcPr>
            <w:tcW w:w="2652" w:type="dxa"/>
            <w:gridSpan w:val="3"/>
            <w:vAlign w:val="center"/>
          </w:tcPr>
          <w:p w14:paraId="687C0F92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从事教育教学改革研究及获奖情况（含教改项目、研究论文、慕课、</w:t>
            </w:r>
          </w:p>
          <w:p w14:paraId="7A6E500B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教材等）</w:t>
            </w:r>
          </w:p>
        </w:tc>
        <w:tc>
          <w:tcPr>
            <w:tcW w:w="6917" w:type="dxa"/>
            <w:gridSpan w:val="8"/>
            <w:vAlign w:val="center"/>
          </w:tcPr>
          <w:p w14:paraId="02B6D514">
            <w:pPr>
              <w:pStyle w:val="1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（一）教改项目</w:t>
            </w:r>
          </w:p>
          <w:p w14:paraId="3B191E28">
            <w:pPr>
              <w:pStyle w:val="1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中国与俄罗斯中亚国家经贸合作，2022年新疆财经大学校级本科线上线下金课，已结项。</w:t>
            </w:r>
          </w:p>
          <w:p w14:paraId="109312CC">
            <w:pPr>
              <w:pStyle w:val="1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（二）获奖</w:t>
            </w:r>
          </w:p>
          <w:p w14:paraId="38BDAD4E">
            <w:pPr>
              <w:pStyle w:val="1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110" w:rightChars="50" w:firstLine="420" w:firstLineChars="200"/>
              <w:textAlignment w:val="auto"/>
              <w:rPr>
                <w:rFonts w:hint="eastAsia" w:cs="宋体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2012年全国高校教师教学比赛三等奖（1/1）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；</w:t>
            </w:r>
          </w:p>
          <w:p w14:paraId="7501A76F">
            <w:pPr>
              <w:pStyle w:val="1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110" w:rightChars="50" w:firstLine="420" w:firstLineChars="200"/>
              <w:textAlignment w:val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2012年自治区教学能手（1/1）</w:t>
            </w:r>
          </w:p>
        </w:tc>
      </w:tr>
      <w:tr w14:paraId="61696F9C">
        <w:trPr>
          <w:trHeight w:val="4250" w:hRule="atLeast"/>
          <w:jc w:val="center"/>
        </w:trPr>
        <w:tc>
          <w:tcPr>
            <w:tcW w:w="2652" w:type="dxa"/>
            <w:gridSpan w:val="3"/>
            <w:vAlign w:val="center"/>
          </w:tcPr>
          <w:p w14:paraId="0A938547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从事科学研究及获奖情况</w:t>
            </w:r>
          </w:p>
        </w:tc>
        <w:tc>
          <w:tcPr>
            <w:tcW w:w="6917" w:type="dxa"/>
            <w:gridSpan w:val="8"/>
            <w:vAlign w:val="center"/>
          </w:tcPr>
          <w:p w14:paraId="2A41FE5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（一）课题</w:t>
            </w:r>
          </w:p>
          <w:p w14:paraId="40C7E9D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1.主持2018年国家社科西部项目：以产能合作促进中哈命运共同体建设研究（项目号18XGJ002），已结项</w:t>
            </w:r>
          </w:p>
          <w:p w14:paraId="50637FF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2.主持2010年教育部社科哲学项目：中国对哈萨克斯坦农产品出口贸易研究（项目号：10XJJCGJW001），已结项</w:t>
            </w:r>
          </w:p>
          <w:p w14:paraId="1431789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3.主持2010年自治区社科基金项目：新疆对中亚国家农产品出口扩大与促进研究（项目号10CJY023），已结项</w:t>
            </w:r>
          </w:p>
          <w:p w14:paraId="48ECA388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4.主持2024年新疆财经大学校地合作项目:中国（新疆）自贸试验区建设区域性国际初级产品加工和配置基地研究（项目号：2024SLC001）</w:t>
            </w:r>
          </w:p>
          <w:p w14:paraId="394A6E5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（二）已发表高水平论文</w:t>
            </w:r>
          </w:p>
          <w:p w14:paraId="77783348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数字基础设施是否有利于提升出口技术复杂度?——基于国家层面数据的实证检验，《西安理工大学学报》（北图核心期刊），1/2，2025年第1期。</w:t>
            </w:r>
          </w:p>
          <w:p w14:paraId="59544106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2.“一带一路”倡议对沿线国家高质量发展的影响及机制研究——基于双重差分模型的实证分析（1/2），《金融理论与实践》（北图核心期刊），2023年第11期</w:t>
            </w:r>
          </w:p>
          <w:p w14:paraId="543A736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10" w:leftChars="50" w:right="0" w:rightChars="0" w:firstLine="420" w:firstLineChars="200"/>
              <w:jc w:val="left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 东道国交通基础设施质量对中国进出口贸易的影响研究——来自“一带一路”沿线51个国家的证据（1/2），《技术经济》（北图核心期刊），2023年第1期</w:t>
            </w:r>
          </w:p>
        </w:tc>
      </w:tr>
      <w:tr w14:paraId="66E922C5">
        <w:trPr>
          <w:trHeight w:val="944" w:hRule="atLeast"/>
          <w:jc w:val="center"/>
        </w:trPr>
        <w:tc>
          <w:tcPr>
            <w:tcW w:w="2652" w:type="dxa"/>
            <w:gridSpan w:val="3"/>
            <w:vAlign w:val="center"/>
          </w:tcPr>
          <w:p w14:paraId="24EB9AED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近三年获得教学研究经费（万元）</w:t>
            </w:r>
          </w:p>
        </w:tc>
        <w:tc>
          <w:tcPr>
            <w:tcW w:w="3328" w:type="dxa"/>
            <w:gridSpan w:val="3"/>
            <w:vAlign w:val="center"/>
          </w:tcPr>
          <w:p w14:paraId="7DA3351C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9396A28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近三年获得科学研究经费（万元）</w:t>
            </w:r>
          </w:p>
        </w:tc>
        <w:tc>
          <w:tcPr>
            <w:tcW w:w="1038" w:type="dxa"/>
            <w:gridSpan w:val="2"/>
            <w:vAlign w:val="center"/>
          </w:tcPr>
          <w:p w14:paraId="2AAA6B75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/>
              </w:rPr>
              <w:t>8</w:t>
            </w:r>
          </w:p>
        </w:tc>
      </w:tr>
      <w:tr w14:paraId="4E1F71A5">
        <w:trPr>
          <w:trHeight w:val="1242" w:hRule="atLeast"/>
          <w:jc w:val="center"/>
        </w:trPr>
        <w:tc>
          <w:tcPr>
            <w:tcW w:w="2652" w:type="dxa"/>
            <w:gridSpan w:val="3"/>
            <w:vAlign w:val="center"/>
          </w:tcPr>
          <w:p w14:paraId="18E7D369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近三年给本科生授课课程及学时数</w:t>
            </w:r>
          </w:p>
        </w:tc>
        <w:tc>
          <w:tcPr>
            <w:tcW w:w="3328" w:type="dxa"/>
            <w:gridSpan w:val="3"/>
            <w:vAlign w:val="center"/>
          </w:tcPr>
          <w:p w14:paraId="10A60F95">
            <w:pPr>
              <w:pStyle w:val="13"/>
              <w:ind w:left="110" w:leftChars="50" w:right="110" w:rightChars="50"/>
              <w:jc w:val="both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国际服务贸易、中国外经贸热点问题、国际经济学，202.8</w:t>
            </w:r>
          </w:p>
        </w:tc>
        <w:tc>
          <w:tcPr>
            <w:tcW w:w="2551" w:type="dxa"/>
            <w:gridSpan w:val="3"/>
            <w:vAlign w:val="center"/>
          </w:tcPr>
          <w:p w14:paraId="4DB06F97">
            <w:pPr>
              <w:pStyle w:val="13"/>
              <w:ind w:left="110" w:leftChars="50" w:right="110" w:rightChars="5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近三年指导本科毕业设计（人次）</w:t>
            </w:r>
          </w:p>
        </w:tc>
        <w:tc>
          <w:tcPr>
            <w:tcW w:w="1038" w:type="dxa"/>
            <w:gridSpan w:val="2"/>
            <w:vAlign w:val="center"/>
          </w:tcPr>
          <w:p w14:paraId="04B5D0FF">
            <w:pPr>
              <w:pStyle w:val="13"/>
              <w:ind w:left="110" w:leftChars="50" w:right="110" w:rightChars="50"/>
              <w:jc w:val="center"/>
              <w:rPr>
                <w:rFonts w:hint="eastAsia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37</w:t>
            </w:r>
          </w:p>
        </w:tc>
      </w:tr>
    </w:tbl>
    <w:p w14:paraId="2757AAD3">
      <w:pPr>
        <w:rPr>
          <w:rFonts w:hint="eastAsia"/>
        </w:rPr>
      </w:pPr>
    </w:p>
    <w:p w14:paraId="681C9BAE">
      <w:pPr>
        <w:pStyle w:val="2"/>
        <w:ind w:left="0" w:firstLine="0"/>
        <w:rPr>
          <w:rFonts w:ascii="Times New Roman" w:hAnsi="Times New Roman" w:cs="Times New Roman"/>
          <w:color w:val="auto"/>
        </w:rPr>
      </w:pPr>
    </w:p>
    <w:p w14:paraId="4FB055EB">
      <w:pPr>
        <w:pStyle w:val="2"/>
        <w:ind w:left="0" w:firstLine="0"/>
        <w:rPr>
          <w:rFonts w:ascii="Times New Roman" w:hAnsi="Times New Roman" w:cs="Times New Roman"/>
          <w:color w:val="auto"/>
        </w:rPr>
      </w:pPr>
    </w:p>
    <w:p w14:paraId="71749C80">
      <w:pPr>
        <w:pStyle w:val="2"/>
        <w:ind w:left="0" w:firstLine="0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</w:rPr>
        <w:t>专业主要带头人简介</w:t>
      </w:r>
      <w:r>
        <w:rPr>
          <w:rFonts w:hint="eastAsia"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3</w:t>
      </w:r>
      <w:r>
        <w:rPr>
          <w:rFonts w:hint="eastAsia" w:ascii="Times New Roman" w:hAnsi="Times New Roman" w:cs="Times New Roman"/>
          <w:color w:val="auto"/>
          <w:lang w:val="en-US"/>
        </w:rPr>
        <w:t>）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4"/>
        <w:gridCol w:w="991"/>
        <w:gridCol w:w="878"/>
        <w:gridCol w:w="1459"/>
        <w:gridCol w:w="257"/>
        <w:gridCol w:w="1113"/>
        <w:gridCol w:w="1181"/>
        <w:gridCol w:w="47"/>
        <w:gridCol w:w="991"/>
      </w:tblGrid>
      <w:tr w14:paraId="221C85EB">
        <w:trPr>
          <w:trHeight w:val="746" w:hRule="atLeast"/>
        </w:trPr>
        <w:tc>
          <w:tcPr>
            <w:tcW w:w="960" w:type="dxa"/>
            <w:vAlign w:val="center"/>
          </w:tcPr>
          <w:p w14:paraId="397F7FB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 w14:paraId="29B66E5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吴晓燕</w:t>
            </w:r>
          </w:p>
        </w:tc>
        <w:tc>
          <w:tcPr>
            <w:tcW w:w="1245" w:type="dxa"/>
            <w:gridSpan w:val="2"/>
            <w:vAlign w:val="center"/>
          </w:tcPr>
          <w:p w14:paraId="24812E8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性别</w:t>
            </w:r>
          </w:p>
        </w:tc>
        <w:tc>
          <w:tcPr>
            <w:tcW w:w="878" w:type="dxa"/>
            <w:vAlign w:val="center"/>
          </w:tcPr>
          <w:p w14:paraId="174B71D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女</w:t>
            </w:r>
          </w:p>
        </w:tc>
        <w:tc>
          <w:tcPr>
            <w:tcW w:w="1716" w:type="dxa"/>
            <w:gridSpan w:val="2"/>
            <w:vAlign w:val="center"/>
          </w:tcPr>
          <w:p w14:paraId="17BCBFA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专业技术职务</w:t>
            </w:r>
          </w:p>
        </w:tc>
        <w:tc>
          <w:tcPr>
            <w:tcW w:w="1113" w:type="dxa"/>
            <w:vAlign w:val="center"/>
          </w:tcPr>
          <w:p w14:paraId="794AC31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副教授</w:t>
            </w:r>
          </w:p>
        </w:tc>
        <w:tc>
          <w:tcPr>
            <w:tcW w:w="1228" w:type="dxa"/>
            <w:gridSpan w:val="2"/>
            <w:vAlign w:val="center"/>
          </w:tcPr>
          <w:p w14:paraId="79ED776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行政职务</w:t>
            </w:r>
          </w:p>
        </w:tc>
        <w:tc>
          <w:tcPr>
            <w:tcW w:w="991" w:type="dxa"/>
            <w:vAlign w:val="center"/>
          </w:tcPr>
          <w:p w14:paraId="4B9E9D9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教研室主任</w:t>
            </w:r>
          </w:p>
        </w:tc>
      </w:tr>
      <w:tr w14:paraId="718C3E7C">
        <w:trPr>
          <w:trHeight w:val="853" w:hRule="atLeast"/>
        </w:trPr>
        <w:tc>
          <w:tcPr>
            <w:tcW w:w="960" w:type="dxa"/>
            <w:vAlign w:val="center"/>
          </w:tcPr>
          <w:p w14:paraId="3DF6715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拟承担课程</w:t>
            </w:r>
          </w:p>
        </w:tc>
        <w:tc>
          <w:tcPr>
            <w:tcW w:w="3561" w:type="dxa"/>
            <w:gridSpan w:val="4"/>
            <w:vAlign w:val="center"/>
          </w:tcPr>
          <w:p w14:paraId="4B96946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国际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法、国际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民商事争议解决法、国际商务谈判、国际法</w:t>
            </w:r>
          </w:p>
        </w:tc>
        <w:tc>
          <w:tcPr>
            <w:tcW w:w="1716" w:type="dxa"/>
            <w:gridSpan w:val="2"/>
            <w:vAlign w:val="center"/>
          </w:tcPr>
          <w:p w14:paraId="4491EC5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现在所在单位</w:t>
            </w:r>
          </w:p>
        </w:tc>
        <w:tc>
          <w:tcPr>
            <w:tcW w:w="3332" w:type="dxa"/>
            <w:gridSpan w:val="4"/>
            <w:vAlign w:val="center"/>
          </w:tcPr>
          <w:p w14:paraId="33FB0B5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/>
              </w:rPr>
              <w:t>新疆财经大学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法学院</w:t>
            </w:r>
          </w:p>
        </w:tc>
      </w:tr>
      <w:tr w14:paraId="7E0A541B">
        <w:trPr>
          <w:trHeight w:val="557" w:hRule="atLeast"/>
        </w:trPr>
        <w:tc>
          <w:tcPr>
            <w:tcW w:w="2652" w:type="dxa"/>
            <w:gridSpan w:val="3"/>
            <w:vAlign w:val="center"/>
          </w:tcPr>
          <w:p w14:paraId="1FD8784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pacing w:val="-20"/>
                <w:sz w:val="21"/>
                <w:szCs w:val="21"/>
              </w:rPr>
              <w:t>最后学历毕业时间、</w:t>
            </w:r>
            <w:r>
              <w:rPr>
                <w:rFonts w:ascii="Times New Roman" w:hAnsi="Times New Roman" w:cs="Times New Roman"/>
                <w:color w:val="auto"/>
                <w:spacing w:val="-17"/>
                <w:sz w:val="21"/>
                <w:szCs w:val="21"/>
              </w:rPr>
              <w:t>学校、专业</w:t>
            </w:r>
          </w:p>
        </w:tc>
        <w:tc>
          <w:tcPr>
            <w:tcW w:w="6917" w:type="dxa"/>
            <w:gridSpan w:val="8"/>
            <w:vAlign w:val="center"/>
          </w:tcPr>
          <w:p w14:paraId="5D9AA3B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博士，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2014.06</w:t>
            </w:r>
            <w:r>
              <w:rPr>
                <w:rFonts w:hint="eastAsia" w:ascii="Times New Roman"/>
                <w:color w:val="auto"/>
                <w:sz w:val="21"/>
                <w:szCs w:val="21"/>
              </w:rPr>
              <w:t>，中国人民大学，国际法学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专业</w:t>
            </w:r>
          </w:p>
        </w:tc>
      </w:tr>
      <w:tr w14:paraId="7BD29B45">
        <w:trPr>
          <w:trHeight w:val="429" w:hRule="atLeast"/>
        </w:trPr>
        <w:tc>
          <w:tcPr>
            <w:tcW w:w="2652" w:type="dxa"/>
            <w:gridSpan w:val="3"/>
            <w:vAlign w:val="center"/>
          </w:tcPr>
          <w:p w14:paraId="6C1391C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主要研究方向</w:t>
            </w:r>
          </w:p>
        </w:tc>
        <w:tc>
          <w:tcPr>
            <w:tcW w:w="6917" w:type="dxa"/>
            <w:gridSpan w:val="8"/>
            <w:vAlign w:val="center"/>
          </w:tcPr>
          <w:p w14:paraId="4905D4D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/>
                <w:color w:val="auto"/>
                <w:sz w:val="21"/>
                <w:szCs w:val="21"/>
              </w:rPr>
            </w:pPr>
            <w:r>
              <w:rPr>
                <w:rFonts w:ascii="Times New Roman"/>
                <w:color w:val="auto"/>
                <w:sz w:val="21"/>
                <w:szCs w:val="21"/>
              </w:rPr>
              <w:t>国际法、国际争端解决</w:t>
            </w:r>
          </w:p>
        </w:tc>
      </w:tr>
      <w:tr w14:paraId="0EC0A894">
        <w:trPr>
          <w:trHeight w:val="3047" w:hRule="atLeast"/>
        </w:trPr>
        <w:tc>
          <w:tcPr>
            <w:tcW w:w="2652" w:type="dxa"/>
            <w:gridSpan w:val="3"/>
            <w:vAlign w:val="center"/>
          </w:tcPr>
          <w:p w14:paraId="7ECD013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从事教育教学改革研究及获奖情况（含教改项目、研究论文、慕课、</w:t>
            </w:r>
          </w:p>
          <w:p w14:paraId="75F2D38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教材等）</w:t>
            </w:r>
          </w:p>
        </w:tc>
        <w:tc>
          <w:tcPr>
            <w:tcW w:w="6917" w:type="dxa"/>
            <w:gridSpan w:val="8"/>
            <w:vAlign w:val="center"/>
          </w:tcPr>
          <w:p w14:paraId="38AAF0EE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 w:bidi="zh-CN"/>
              </w:rPr>
              <w:t>（一）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教改项目</w:t>
            </w:r>
          </w:p>
          <w:p w14:paraId="5BD92E1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习近平涉外法治重要论述融入《国际法》课程思政的探索与实践，2022年新疆财经大学校级本科教改项目，已结项。</w:t>
            </w:r>
          </w:p>
          <w:p w14:paraId="64F6D4C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教改论文</w:t>
            </w:r>
          </w:p>
          <w:p w14:paraId="3190110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“丝绸之路经济带”核心区涉外法治人才培养的若干思考，《山西科技报》，2022年8月22日B07版；</w:t>
            </w:r>
          </w:p>
          <w:p w14:paraId="0E8AEBF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总体国家安全观融入国际法课程思政的路径探索，昌吉学院学报，2024年6月第3期。</w:t>
            </w:r>
          </w:p>
          <w:p w14:paraId="05B62F4A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 w:bidi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 w:bidi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获奖</w:t>
            </w:r>
          </w:p>
          <w:p w14:paraId="302A9DA9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Times New Roman" w:hAnsi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2021年校级教学成果奖二等奖（5/5）、2023年校级教学成果奖三等奖（4/8）、2019年新疆财经大学暑期社会实践活动优秀指导教师、2024年新疆财经大学优化营商环境大调研优秀指导教师。</w:t>
            </w:r>
          </w:p>
        </w:tc>
      </w:tr>
      <w:tr w14:paraId="3A923B24">
        <w:trPr>
          <w:trHeight w:val="360" w:hRule="atLeast"/>
        </w:trPr>
        <w:tc>
          <w:tcPr>
            <w:tcW w:w="2652" w:type="dxa"/>
            <w:gridSpan w:val="3"/>
            <w:vAlign w:val="center"/>
          </w:tcPr>
          <w:p w14:paraId="7EF0227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从事科学研究及获奖情况</w:t>
            </w:r>
          </w:p>
        </w:tc>
        <w:tc>
          <w:tcPr>
            <w:tcW w:w="6917" w:type="dxa"/>
            <w:gridSpan w:val="8"/>
            <w:vAlign w:val="center"/>
          </w:tcPr>
          <w:p w14:paraId="1BB888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课题</w:t>
            </w:r>
          </w:p>
          <w:p w14:paraId="615E33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1.主持2014年自治区高校科研计划科学研究青年项目：建设“丝绸之路经济带”对外开放与合作中的国际私法问题研究（XJEDU2014S044）</w:t>
            </w:r>
          </w:p>
          <w:p w14:paraId="7B6CE84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2.主持2016年自治区高校科研计划科学研究重点项目：“丝绸之路经济带”视阙下新疆仲裁业历史及其发展趋势研究（XJEDU2016I007）</w:t>
            </w:r>
          </w:p>
          <w:p w14:paraId="14C8D0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3.主持2016新疆财经大学博士启动科研基金项目：合理原则在国际商事仲裁中的适用研究（2016BS003）</w:t>
            </w:r>
          </w:p>
          <w:p w14:paraId="0ADC68F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4.主持2018年新疆法学会研究课题一般项目： 丝绸之路经济带建设中中国与中亚国家经济争议解决法律框架研究（XF2018B07）</w:t>
            </w:r>
          </w:p>
          <w:p w14:paraId="32569A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5.主持2021年国家社科基金西部项目:“一带一路”倡议下中国与中亚国家间投资争端预防与解决机制研究（21XFX020）</w:t>
            </w:r>
          </w:p>
          <w:p w14:paraId="25E0BCD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6.主持2024新疆财经大学智库调研项目：乌鲁木齐建设丝绸之路经济带法务区研究（ZKPC2402）</w:t>
            </w:r>
          </w:p>
          <w:p w14:paraId="28FCEE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7.主持2024年度新时代党的治疆方略理论与实践研究课题合作项目：中亚五国投资法律制度和投资活动风险防范机制研究（2024ZJFLH07）</w:t>
            </w:r>
          </w:p>
          <w:p w14:paraId="68A777D7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已发表高水平论文</w:t>
            </w:r>
          </w:p>
          <w:p w14:paraId="244DE8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1.《国际商事仲裁规则变化趋势初探》（独著），《商业时代》（北图核心期刊），2014年第8期。</w:t>
            </w:r>
          </w:p>
          <w:p w14:paraId="1385AB62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2.《上合组织能源合作法律框架初探——以中国为视角的展开》（独著），《商业时代》（北图核心期刊），2013年第27期。</w:t>
            </w:r>
          </w:p>
          <w:p w14:paraId="3E406DF6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CN" w:eastAsia="zh-CN" w:bidi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 w:bidi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CN" w:eastAsia="zh-CN" w:bidi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获奖</w:t>
            </w:r>
          </w:p>
          <w:p w14:paraId="1B326714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《“一带一路”建设中中国与中亚国家经济争议解决法律框架研究》（独著），获中国法学会2021年第16届西部法治论坛三等奖。</w:t>
            </w:r>
          </w:p>
          <w:p w14:paraId="5B071CEB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Chars="250" w:right="110" w:rightChars="5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14:paraId="75DE964E">
        <w:trPr>
          <w:trHeight w:val="691" w:hRule="atLeast"/>
        </w:trPr>
        <w:tc>
          <w:tcPr>
            <w:tcW w:w="2652" w:type="dxa"/>
            <w:gridSpan w:val="3"/>
            <w:vAlign w:val="center"/>
          </w:tcPr>
          <w:p w14:paraId="4D8A339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近三年获得教学研究经费（万元）</w:t>
            </w:r>
          </w:p>
        </w:tc>
        <w:tc>
          <w:tcPr>
            <w:tcW w:w="3328" w:type="dxa"/>
            <w:gridSpan w:val="3"/>
            <w:vAlign w:val="center"/>
          </w:tcPr>
          <w:p w14:paraId="308A221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1</w:t>
            </w:r>
          </w:p>
        </w:tc>
        <w:tc>
          <w:tcPr>
            <w:tcW w:w="2551" w:type="dxa"/>
            <w:gridSpan w:val="3"/>
            <w:vAlign w:val="center"/>
          </w:tcPr>
          <w:p w14:paraId="69EE134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近三年获得科学研究经费（万元）</w:t>
            </w:r>
          </w:p>
        </w:tc>
        <w:tc>
          <w:tcPr>
            <w:tcW w:w="1038" w:type="dxa"/>
            <w:gridSpan w:val="2"/>
            <w:vAlign w:val="center"/>
          </w:tcPr>
          <w:p w14:paraId="7A21145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24</w:t>
            </w:r>
          </w:p>
        </w:tc>
      </w:tr>
      <w:tr w14:paraId="2EC34151">
        <w:trPr>
          <w:trHeight w:val="1039" w:hRule="atLeast"/>
        </w:trPr>
        <w:tc>
          <w:tcPr>
            <w:tcW w:w="2652" w:type="dxa"/>
            <w:gridSpan w:val="3"/>
            <w:vAlign w:val="center"/>
          </w:tcPr>
          <w:p w14:paraId="51AC0C5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近三年给本科生授课课程及学时数</w:t>
            </w:r>
          </w:p>
        </w:tc>
        <w:tc>
          <w:tcPr>
            <w:tcW w:w="3328" w:type="dxa"/>
            <w:gridSpan w:val="3"/>
            <w:vAlign w:val="center"/>
          </w:tcPr>
          <w:p w14:paraId="1F06B02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国际法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102学时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；《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国际商事仲裁法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72学时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；《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国际经济法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51学时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；《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国际商法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36学时</w:t>
            </w:r>
          </w:p>
        </w:tc>
        <w:tc>
          <w:tcPr>
            <w:tcW w:w="2551" w:type="dxa"/>
            <w:gridSpan w:val="3"/>
            <w:vAlign w:val="center"/>
          </w:tcPr>
          <w:p w14:paraId="328A267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近三年指导本科毕业设计（人次）</w:t>
            </w:r>
          </w:p>
        </w:tc>
        <w:tc>
          <w:tcPr>
            <w:tcW w:w="1038" w:type="dxa"/>
            <w:gridSpan w:val="2"/>
            <w:vAlign w:val="center"/>
          </w:tcPr>
          <w:p w14:paraId="06ABEA9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 w:firstLineChars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24</w:t>
            </w:r>
          </w:p>
        </w:tc>
      </w:tr>
    </w:tbl>
    <w:p w14:paraId="32CF9A4B">
      <w:pPr>
        <w:pStyle w:val="2"/>
        <w:ind w:left="0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专业主要带头人简介</w:t>
      </w:r>
      <w:r>
        <w:rPr>
          <w:rFonts w:hint="eastAsia"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lang w:val="en-US"/>
        </w:rPr>
        <w:t>）</w:t>
      </w:r>
    </w:p>
    <w:tbl>
      <w:tblPr>
        <w:tblStyle w:val="11"/>
        <w:tblpPr w:leftFromText="180" w:rightFromText="180" w:vertAnchor="text" w:horzAnchor="page" w:tblpX="1606" w:tblpY="28"/>
        <w:tblOverlap w:val="never"/>
        <w:tblW w:w="956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316"/>
        <w:gridCol w:w="122"/>
        <w:gridCol w:w="1245"/>
        <w:gridCol w:w="878"/>
        <w:gridCol w:w="1459"/>
        <w:gridCol w:w="257"/>
        <w:gridCol w:w="1113"/>
        <w:gridCol w:w="1181"/>
        <w:gridCol w:w="47"/>
        <w:gridCol w:w="991"/>
      </w:tblGrid>
      <w:tr w14:paraId="559A43FB">
        <w:trPr>
          <w:trHeight w:val="598" w:hRule="atLeast"/>
        </w:trPr>
        <w:tc>
          <w:tcPr>
            <w:tcW w:w="960" w:type="dxa"/>
            <w:vAlign w:val="center"/>
          </w:tcPr>
          <w:p w14:paraId="39DD4AD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438" w:type="dxa"/>
            <w:gridSpan w:val="2"/>
            <w:vAlign w:val="center"/>
          </w:tcPr>
          <w:p w14:paraId="0222790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阿不都热合曼·卡德尔</w:t>
            </w:r>
          </w:p>
        </w:tc>
        <w:tc>
          <w:tcPr>
            <w:tcW w:w="1245" w:type="dxa"/>
            <w:vAlign w:val="center"/>
          </w:tcPr>
          <w:p w14:paraId="22F4463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878" w:type="dxa"/>
            <w:vAlign w:val="center"/>
          </w:tcPr>
          <w:p w14:paraId="4754817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/>
              </w:rPr>
              <w:t>男</w:t>
            </w:r>
          </w:p>
        </w:tc>
        <w:tc>
          <w:tcPr>
            <w:tcW w:w="1716" w:type="dxa"/>
            <w:gridSpan w:val="2"/>
            <w:vAlign w:val="center"/>
          </w:tcPr>
          <w:p w14:paraId="56FDDC3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专业技术职务</w:t>
            </w:r>
          </w:p>
        </w:tc>
        <w:tc>
          <w:tcPr>
            <w:tcW w:w="1113" w:type="dxa"/>
            <w:vAlign w:val="center"/>
          </w:tcPr>
          <w:p w14:paraId="3FAF87D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/>
              </w:rPr>
              <w:t>副教授</w:t>
            </w:r>
          </w:p>
        </w:tc>
        <w:tc>
          <w:tcPr>
            <w:tcW w:w="1228" w:type="dxa"/>
            <w:gridSpan w:val="2"/>
            <w:vAlign w:val="center"/>
          </w:tcPr>
          <w:p w14:paraId="224702E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行政职务</w:t>
            </w:r>
          </w:p>
        </w:tc>
        <w:tc>
          <w:tcPr>
            <w:tcW w:w="991" w:type="dxa"/>
            <w:vAlign w:val="center"/>
          </w:tcPr>
          <w:p w14:paraId="648931E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/>
              </w:rPr>
              <w:t>无</w:t>
            </w:r>
          </w:p>
        </w:tc>
      </w:tr>
      <w:tr w14:paraId="4852BDB0">
        <w:trPr>
          <w:trHeight w:val="90" w:hRule="atLeast"/>
        </w:trPr>
        <w:tc>
          <w:tcPr>
            <w:tcW w:w="960" w:type="dxa"/>
            <w:vAlign w:val="center"/>
          </w:tcPr>
          <w:p w14:paraId="378D311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拟承担课程</w:t>
            </w:r>
          </w:p>
        </w:tc>
        <w:tc>
          <w:tcPr>
            <w:tcW w:w="3561" w:type="dxa"/>
            <w:gridSpan w:val="4"/>
            <w:vAlign w:val="center"/>
          </w:tcPr>
          <w:p w14:paraId="6E8DB7F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亚欧区域国际经济法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、国际金融法、法律英语、国际组织法</w:t>
            </w:r>
          </w:p>
        </w:tc>
        <w:tc>
          <w:tcPr>
            <w:tcW w:w="1716" w:type="dxa"/>
            <w:gridSpan w:val="2"/>
            <w:vAlign w:val="center"/>
          </w:tcPr>
          <w:p w14:paraId="628FC5B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现在所在单位</w:t>
            </w:r>
          </w:p>
        </w:tc>
        <w:tc>
          <w:tcPr>
            <w:tcW w:w="3332" w:type="dxa"/>
            <w:gridSpan w:val="4"/>
            <w:vAlign w:val="center"/>
          </w:tcPr>
          <w:p w14:paraId="5E9DE8E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/>
              </w:rPr>
              <w:t>新疆财经大学法学院</w:t>
            </w:r>
          </w:p>
        </w:tc>
      </w:tr>
      <w:tr w14:paraId="55F24095">
        <w:trPr>
          <w:trHeight w:val="676" w:hRule="atLeast"/>
        </w:trPr>
        <w:tc>
          <w:tcPr>
            <w:tcW w:w="2276" w:type="dxa"/>
            <w:gridSpan w:val="2"/>
            <w:vAlign w:val="center"/>
          </w:tcPr>
          <w:p w14:paraId="372BCB5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pacing w:val="-20"/>
                <w:sz w:val="21"/>
                <w:szCs w:val="21"/>
              </w:rPr>
              <w:t>最后学历毕业时间、</w:t>
            </w:r>
            <w:r>
              <w:rPr>
                <w:rFonts w:ascii="Times New Roman" w:hAnsi="Times New Roman" w:cs="Times New Roman"/>
                <w:color w:val="auto"/>
                <w:spacing w:val="-17"/>
                <w:sz w:val="21"/>
                <w:szCs w:val="21"/>
              </w:rPr>
              <w:t>学校、专业</w:t>
            </w:r>
          </w:p>
        </w:tc>
        <w:tc>
          <w:tcPr>
            <w:tcW w:w="7293" w:type="dxa"/>
            <w:gridSpan w:val="9"/>
            <w:vAlign w:val="center"/>
          </w:tcPr>
          <w:p w14:paraId="31B0481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Times New Roman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 w:val="21"/>
                <w:szCs w:val="21"/>
                <w:lang w:val="en-US"/>
              </w:rPr>
              <w:t>博士，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  <w:t>2012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  <w:t>5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/>
              </w:rPr>
              <w:t>，中国人民大学，国际法学</w:t>
            </w:r>
            <w:r>
              <w:rPr>
                <w:rFonts w:hint="eastAsia" w:ascii="Times New Roman"/>
                <w:color w:val="auto"/>
                <w:sz w:val="21"/>
                <w:szCs w:val="21"/>
                <w:lang w:val="en-US" w:eastAsia="zh-CN"/>
              </w:rPr>
              <w:t>专业</w:t>
            </w:r>
          </w:p>
        </w:tc>
      </w:tr>
      <w:tr w14:paraId="78E7C5EC">
        <w:trPr>
          <w:trHeight w:val="512" w:hRule="atLeast"/>
        </w:trPr>
        <w:tc>
          <w:tcPr>
            <w:tcW w:w="2276" w:type="dxa"/>
            <w:gridSpan w:val="2"/>
            <w:vAlign w:val="center"/>
          </w:tcPr>
          <w:p w14:paraId="6CC5405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主要研究方向</w:t>
            </w:r>
          </w:p>
        </w:tc>
        <w:tc>
          <w:tcPr>
            <w:tcW w:w="7293" w:type="dxa"/>
            <w:gridSpan w:val="9"/>
            <w:vAlign w:val="center"/>
          </w:tcPr>
          <w:p w14:paraId="65EFBB5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color w:val="auto"/>
                <w:sz w:val="21"/>
                <w:szCs w:val="21"/>
                <w:lang w:val="en-US"/>
              </w:rPr>
              <w:t>国际经济法的理论与实践</w:t>
            </w:r>
          </w:p>
        </w:tc>
      </w:tr>
      <w:tr w14:paraId="4B5798FD">
        <w:trPr>
          <w:trHeight w:val="90" w:hRule="atLeast"/>
        </w:trPr>
        <w:tc>
          <w:tcPr>
            <w:tcW w:w="2276" w:type="dxa"/>
            <w:gridSpan w:val="2"/>
            <w:vAlign w:val="center"/>
          </w:tcPr>
          <w:p w14:paraId="35E797D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从事教育教学改革研究及获奖情况（含教改项目、研究论文、慕课、</w:t>
            </w:r>
          </w:p>
          <w:p w14:paraId="108E3A9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教材等）</w:t>
            </w:r>
          </w:p>
        </w:tc>
        <w:tc>
          <w:tcPr>
            <w:tcW w:w="7293" w:type="dxa"/>
            <w:gridSpan w:val="9"/>
            <w:vAlign w:val="center"/>
          </w:tcPr>
          <w:p w14:paraId="76DC364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参与（第二）2022年新疆财经大学教学改革项目：《习近平涉外法治重要论述融入〈国际法〉课程思政的探索与实践》（2022JG05）（已结项）</w:t>
            </w:r>
          </w:p>
          <w:p w14:paraId="12504CA1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本人指导的2名学生在2023年全国大学生英语竞赛（NECCS）中分别荣获A类二等奖和A类三等奖</w:t>
            </w:r>
          </w:p>
          <w:p w14:paraId="0FAA9F22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Times New Roman"/>
                <w:color w:val="auto"/>
                <w:sz w:val="18"/>
                <w:szCs w:val="18"/>
                <w:lang w:val="en-US"/>
              </w:rPr>
              <w:t>发表教改论文：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《加强涉外法治下国际经济法本科课程教学改革探析》（独著），《山西科技报》，2024年5月27日B07版</w:t>
            </w:r>
          </w:p>
          <w:p w14:paraId="1BB329C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color w:val="auto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在第四届“领军杯”涉外模拟法庭全英文辩论赛活动（</w:t>
            </w:r>
            <w:r>
              <w:rPr>
                <w:rFonts w:hint="eastAsia" w:ascii="Times New Roman"/>
                <w:color w:val="auto"/>
                <w:sz w:val="18"/>
                <w:szCs w:val="18"/>
                <w:lang w:val="en-US"/>
              </w:rPr>
              <w:t>2024年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）中作为第一指导教师，法学院获得团体二等奖、优秀组织奖，指导的学生获评优秀辩手，获评优秀指导老师</w:t>
            </w:r>
          </w:p>
        </w:tc>
      </w:tr>
      <w:tr w14:paraId="229C79E0">
        <w:trPr>
          <w:trHeight w:val="90" w:hRule="atLeast"/>
        </w:trPr>
        <w:tc>
          <w:tcPr>
            <w:tcW w:w="2276" w:type="dxa"/>
            <w:gridSpan w:val="2"/>
            <w:vAlign w:val="center"/>
          </w:tcPr>
          <w:p w14:paraId="0211B30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从事科学研究及获奖情况</w:t>
            </w:r>
          </w:p>
        </w:tc>
        <w:tc>
          <w:tcPr>
            <w:tcW w:w="7293" w:type="dxa"/>
            <w:gridSpan w:val="9"/>
            <w:vAlign w:val="center"/>
          </w:tcPr>
          <w:p w14:paraId="2490196D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（一）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承担课题</w:t>
            </w:r>
          </w:p>
          <w:p w14:paraId="14C8B572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主持2021年国家社科基金一般项目：《上海合作组织命运共同体法制机理研究》（21BFX211）（在研）。</w:t>
            </w:r>
          </w:p>
          <w:p w14:paraId="69D1762F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主持2014年新疆财经大学校级科研基金项目：《中国新疆在上海合作组织欧亚区域合作与治理中的功能研究》（2014BS024）（已结项）。</w:t>
            </w:r>
          </w:p>
          <w:p w14:paraId="18B45EB5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参与（第二）2022年新疆财经大学教学改革项目：《习近平涉外法治重要论述融入〈国际法〉课程思政的探索与实践》（2022JG05）（已结项）。</w:t>
            </w:r>
          </w:p>
          <w:p w14:paraId="2F21A4BE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参与（第四）2018年新疆法学会法学研究课题资助项目一般课题：《丝绸之路经济带建设中中国与中亚国家经济争议解决法律框架研究》（XF2018B07）（已结项）。</w:t>
            </w:r>
          </w:p>
          <w:p w14:paraId="72C4A04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参与（第四）2016年自治区高校科研计划立项项目科学研究重点项目（人文、社科类）：《“丝绸之路经济带”视阙下新疆仲裁业历史及其发展趋势研究》（XJEDU2016I007）（已结项）。</w:t>
            </w:r>
          </w:p>
          <w:p w14:paraId="10BD04C2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参与（第十）2007年中国法学会部级法学研究课题：《国际法治与新疆反恐法律对策研究》（C0720）（已结项）。</w:t>
            </w:r>
          </w:p>
          <w:p w14:paraId="034B6965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7.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参与（第七）2006年国家社科基金西部项目：《多元民族文化与新疆和谐社会建设》（06XMZ045）（已结项）。</w:t>
            </w:r>
          </w:p>
          <w:p w14:paraId="21BB6A2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（二）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出版专著</w:t>
            </w:r>
          </w:p>
          <w:p w14:paraId="0DDC506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《上海合作组织经济合作法律机制研究》（独著），社会科学文献出版社2013年7月第1版。</w:t>
            </w:r>
          </w:p>
          <w:p w14:paraId="1213BFCF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（三）发表论文</w:t>
            </w:r>
          </w:p>
          <w:p w14:paraId="7B6DA7B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《构建上海合作组织区域经济合作法律机制的必要性和可行性》（独著），《新疆大学学报》（哲社版）（CSSCI核心期刊），2010年第2期。</w:t>
            </w:r>
          </w:p>
          <w:p w14:paraId="3305473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《上海合作组织区域经济合作法律模式的选择》（独著），《青海师范大学学报》（哲社版）（北图核心期刊），2010年第2期。</w:t>
            </w:r>
          </w:p>
          <w:p w14:paraId="25699FA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《加强涉外法治下国际经济法本科课程教学改革探析》（独著），《山西科技报》，2024年5月27日B07版。</w:t>
            </w:r>
          </w:p>
          <w:p w14:paraId="3438B2A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（四）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获奖情况</w:t>
            </w:r>
          </w:p>
          <w:p w14:paraId="5CB7C6D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《中哈国际货物买卖合同纠纷类案研析》（独著），于2023年获广东省法学会、新疆维吾尔自治区法学会、中国法学学术交流中心共同主办的中国（喀什）-中亚南亚法治论坛征文活动一等奖。</w:t>
            </w:r>
          </w:p>
        </w:tc>
      </w:tr>
      <w:tr w14:paraId="31E061C2">
        <w:trPr>
          <w:trHeight w:val="778" w:hRule="atLeast"/>
        </w:trPr>
        <w:tc>
          <w:tcPr>
            <w:tcW w:w="2276" w:type="dxa"/>
            <w:gridSpan w:val="2"/>
            <w:vAlign w:val="center"/>
          </w:tcPr>
          <w:p w14:paraId="03D37C1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近三年获得教学研究经费（万元）</w:t>
            </w:r>
          </w:p>
        </w:tc>
        <w:tc>
          <w:tcPr>
            <w:tcW w:w="3704" w:type="dxa"/>
            <w:gridSpan w:val="4"/>
            <w:vAlign w:val="center"/>
          </w:tcPr>
          <w:p w14:paraId="1C667935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/>
              </w:rPr>
              <w:t>无</w:t>
            </w:r>
          </w:p>
        </w:tc>
        <w:tc>
          <w:tcPr>
            <w:tcW w:w="2551" w:type="dxa"/>
            <w:gridSpan w:val="3"/>
            <w:vAlign w:val="center"/>
          </w:tcPr>
          <w:p w14:paraId="3E79A9A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近三年获得科学研究经费（万元）</w:t>
            </w:r>
          </w:p>
        </w:tc>
        <w:tc>
          <w:tcPr>
            <w:tcW w:w="1038" w:type="dxa"/>
            <w:gridSpan w:val="2"/>
            <w:vAlign w:val="center"/>
          </w:tcPr>
          <w:p w14:paraId="229D0C1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23</w:t>
            </w:r>
          </w:p>
        </w:tc>
      </w:tr>
      <w:tr w14:paraId="6D5192BD">
        <w:trPr>
          <w:trHeight w:val="903" w:hRule="atLeast"/>
        </w:trPr>
        <w:tc>
          <w:tcPr>
            <w:tcW w:w="2276" w:type="dxa"/>
            <w:gridSpan w:val="2"/>
            <w:vAlign w:val="center"/>
          </w:tcPr>
          <w:p w14:paraId="6FDB391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近三年给本科生授课课程及学时数</w:t>
            </w:r>
          </w:p>
        </w:tc>
        <w:tc>
          <w:tcPr>
            <w:tcW w:w="3704" w:type="dxa"/>
            <w:gridSpan w:val="4"/>
            <w:vAlign w:val="center"/>
          </w:tcPr>
          <w:p w14:paraId="7D17C37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国际经济法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108学时；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法律英语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72学时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；《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/>
              </w:rPr>
              <w:t>亚欧区域国际经济法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72学时</w:t>
            </w:r>
          </w:p>
        </w:tc>
        <w:tc>
          <w:tcPr>
            <w:tcW w:w="2551" w:type="dxa"/>
            <w:gridSpan w:val="3"/>
            <w:vAlign w:val="center"/>
          </w:tcPr>
          <w:p w14:paraId="6E34244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近三年指导本科毕业设计（人次）</w:t>
            </w:r>
          </w:p>
        </w:tc>
        <w:tc>
          <w:tcPr>
            <w:tcW w:w="1038" w:type="dxa"/>
            <w:gridSpan w:val="2"/>
            <w:vAlign w:val="center"/>
          </w:tcPr>
          <w:p w14:paraId="4A76FFC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/>
              </w:rPr>
              <w:t>24</w:t>
            </w:r>
          </w:p>
        </w:tc>
      </w:tr>
    </w:tbl>
    <w:p w14:paraId="5A4A8B39">
      <w:pPr>
        <w:pStyle w:val="2"/>
        <w:ind w:left="0" w:firstLine="0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</w:rPr>
        <w:t>专业主要带头人简介</w:t>
      </w:r>
      <w:r>
        <w:rPr>
          <w:rFonts w:hint="eastAsia"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lang w:val="en-US"/>
        </w:rPr>
        <w:t>）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4"/>
        <w:gridCol w:w="991"/>
        <w:gridCol w:w="878"/>
        <w:gridCol w:w="1459"/>
        <w:gridCol w:w="257"/>
        <w:gridCol w:w="1113"/>
        <w:gridCol w:w="1181"/>
        <w:gridCol w:w="47"/>
        <w:gridCol w:w="991"/>
      </w:tblGrid>
      <w:tr w14:paraId="0ECCA499">
        <w:trPr>
          <w:trHeight w:val="728" w:hRule="atLeast"/>
        </w:trPr>
        <w:tc>
          <w:tcPr>
            <w:tcW w:w="960" w:type="dxa"/>
            <w:vAlign w:val="center"/>
          </w:tcPr>
          <w:p w14:paraId="0176CDF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姓名</w:t>
            </w:r>
          </w:p>
        </w:tc>
        <w:tc>
          <w:tcPr>
            <w:tcW w:w="1438" w:type="dxa"/>
            <w:vAlign w:val="center"/>
          </w:tcPr>
          <w:p w14:paraId="5A3B952F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丁洁</w:t>
            </w:r>
          </w:p>
        </w:tc>
        <w:tc>
          <w:tcPr>
            <w:tcW w:w="1245" w:type="dxa"/>
            <w:gridSpan w:val="2"/>
            <w:vAlign w:val="center"/>
          </w:tcPr>
          <w:p w14:paraId="4C44296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性别</w:t>
            </w:r>
          </w:p>
        </w:tc>
        <w:tc>
          <w:tcPr>
            <w:tcW w:w="878" w:type="dxa"/>
            <w:vAlign w:val="center"/>
          </w:tcPr>
          <w:p w14:paraId="037FA15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女</w:t>
            </w:r>
          </w:p>
        </w:tc>
        <w:tc>
          <w:tcPr>
            <w:tcW w:w="1716" w:type="dxa"/>
            <w:gridSpan w:val="2"/>
            <w:vAlign w:val="center"/>
          </w:tcPr>
          <w:p w14:paraId="272B3C5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专业技术职务</w:t>
            </w:r>
          </w:p>
        </w:tc>
        <w:tc>
          <w:tcPr>
            <w:tcW w:w="1113" w:type="dxa"/>
            <w:vAlign w:val="center"/>
          </w:tcPr>
          <w:p w14:paraId="1E7CE53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副教授</w:t>
            </w:r>
          </w:p>
        </w:tc>
        <w:tc>
          <w:tcPr>
            <w:tcW w:w="1228" w:type="dxa"/>
            <w:gridSpan w:val="2"/>
            <w:vAlign w:val="center"/>
          </w:tcPr>
          <w:p w14:paraId="0147D99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行政职务</w:t>
            </w:r>
          </w:p>
        </w:tc>
        <w:tc>
          <w:tcPr>
            <w:tcW w:w="991" w:type="dxa"/>
            <w:vAlign w:val="center"/>
          </w:tcPr>
          <w:p w14:paraId="23A1B22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副院长</w:t>
            </w:r>
          </w:p>
        </w:tc>
      </w:tr>
      <w:tr w14:paraId="727486F6">
        <w:trPr>
          <w:trHeight w:val="809" w:hRule="atLeast"/>
        </w:trPr>
        <w:tc>
          <w:tcPr>
            <w:tcW w:w="960" w:type="dxa"/>
            <w:vAlign w:val="center"/>
          </w:tcPr>
          <w:p w14:paraId="3707C37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拟承担课程</w:t>
            </w:r>
          </w:p>
        </w:tc>
        <w:tc>
          <w:tcPr>
            <w:tcW w:w="3561" w:type="dxa"/>
            <w:gridSpan w:val="4"/>
            <w:vAlign w:val="center"/>
          </w:tcPr>
          <w:p w14:paraId="7E9A426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国际投资法、国际金融法、国际经济法</w:t>
            </w:r>
          </w:p>
        </w:tc>
        <w:tc>
          <w:tcPr>
            <w:tcW w:w="1716" w:type="dxa"/>
            <w:gridSpan w:val="2"/>
            <w:vAlign w:val="center"/>
          </w:tcPr>
          <w:p w14:paraId="2D8749B7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现在所在单位</w:t>
            </w:r>
          </w:p>
        </w:tc>
        <w:tc>
          <w:tcPr>
            <w:tcW w:w="3332" w:type="dxa"/>
            <w:gridSpan w:val="4"/>
            <w:vAlign w:val="center"/>
          </w:tcPr>
          <w:p w14:paraId="2485CB4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新疆财经大学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法学院</w:t>
            </w:r>
          </w:p>
        </w:tc>
      </w:tr>
      <w:tr w14:paraId="75455D71">
        <w:trPr>
          <w:trHeight w:val="796" w:hRule="atLeast"/>
        </w:trPr>
        <w:tc>
          <w:tcPr>
            <w:tcW w:w="2652" w:type="dxa"/>
            <w:gridSpan w:val="3"/>
            <w:vAlign w:val="center"/>
          </w:tcPr>
          <w:p w14:paraId="2F324A9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pacing w:val="0"/>
                <w:sz w:val="24"/>
              </w:rPr>
              <w:t>最后学历毕业时间、学校、专业</w:t>
            </w:r>
          </w:p>
        </w:tc>
        <w:tc>
          <w:tcPr>
            <w:tcW w:w="6917" w:type="dxa"/>
            <w:gridSpan w:val="8"/>
            <w:vAlign w:val="center"/>
          </w:tcPr>
          <w:p w14:paraId="6D4265E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Times New Roman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Times New Roman"/>
                <w:color w:val="auto"/>
                <w:sz w:val="24"/>
                <w:highlight w:val="none"/>
                <w:lang w:val="en-US" w:eastAsia="zh-CN"/>
              </w:rPr>
              <w:t>博士，2014.06，</w:t>
            </w:r>
            <w:r>
              <w:rPr>
                <w:rFonts w:hint="eastAsia" w:ascii="Times New Roman"/>
                <w:color w:val="auto"/>
                <w:sz w:val="24"/>
                <w:highlight w:val="none"/>
                <w:lang w:eastAsia="zh-CN"/>
              </w:rPr>
              <w:t>中国人民大学，民商法学专业</w:t>
            </w:r>
          </w:p>
        </w:tc>
      </w:tr>
      <w:tr w14:paraId="6B443EDF">
        <w:trPr>
          <w:trHeight w:val="596" w:hRule="atLeast"/>
        </w:trPr>
        <w:tc>
          <w:tcPr>
            <w:tcW w:w="2652" w:type="dxa"/>
            <w:gridSpan w:val="3"/>
            <w:vAlign w:val="center"/>
          </w:tcPr>
          <w:p w14:paraId="081814B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主要研究方向</w:t>
            </w:r>
          </w:p>
        </w:tc>
        <w:tc>
          <w:tcPr>
            <w:tcW w:w="6917" w:type="dxa"/>
            <w:gridSpan w:val="8"/>
            <w:vAlign w:val="center"/>
          </w:tcPr>
          <w:p w14:paraId="0BFBA86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Times New Roman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 w:val="24"/>
                <w:lang w:val="en-US" w:eastAsia="zh-CN"/>
              </w:rPr>
              <w:t>国际</w:t>
            </w:r>
            <w:r>
              <w:rPr>
                <w:rFonts w:hint="eastAsia" w:ascii="Times New Roman"/>
                <w:color w:val="auto"/>
                <w:sz w:val="24"/>
                <w:lang w:eastAsia="zh-CN"/>
              </w:rPr>
              <w:t>商法、</w:t>
            </w:r>
            <w:r>
              <w:rPr>
                <w:rFonts w:hint="eastAsia" w:ascii="Times New Roman"/>
                <w:color w:val="auto"/>
                <w:sz w:val="24"/>
                <w:lang w:val="en-US" w:eastAsia="zh-CN"/>
              </w:rPr>
              <w:t>国际经济法</w:t>
            </w:r>
          </w:p>
        </w:tc>
      </w:tr>
      <w:tr w14:paraId="2155B746">
        <w:trPr>
          <w:trHeight w:val="2414" w:hRule="atLeast"/>
        </w:trPr>
        <w:tc>
          <w:tcPr>
            <w:tcW w:w="2652" w:type="dxa"/>
            <w:gridSpan w:val="3"/>
            <w:vAlign w:val="center"/>
          </w:tcPr>
          <w:p w14:paraId="31792FE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从事教育教学改革研究及获奖情况（含教改项目、研究论文、慕课、</w:t>
            </w:r>
          </w:p>
          <w:p w14:paraId="482B7F3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教材等）</w:t>
            </w:r>
          </w:p>
        </w:tc>
        <w:tc>
          <w:tcPr>
            <w:tcW w:w="6917" w:type="dxa"/>
            <w:gridSpan w:val="8"/>
            <w:vAlign w:val="center"/>
          </w:tcPr>
          <w:p w14:paraId="467204EE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宋体" w:eastAsia="宋体" w:cs="宋体"/>
                <w:color w:val="auto"/>
                <w:sz w:val="18"/>
                <w:szCs w:val="18"/>
                <w:lang w:val="zh-CN" w:eastAsia="zh-CN" w:bidi="zh-CN"/>
              </w:rPr>
              <w:t>（一）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教学研究</w:t>
            </w:r>
          </w:p>
          <w:p w14:paraId="51EF9F1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color w:val="auto"/>
                <w:sz w:val="18"/>
                <w:szCs w:val="18"/>
              </w:rPr>
              <w:t>负责人主持教育部产学合作协同育人项目1项，主持省级教学改革项目1项，获批第三批自治区一流本科课程1门，主持省级新文科教育联盟首批新文科研究改革实践项目1项，校级教学改革项目1项；主持自治区线上线下混合式一流本科课程1门，获批校级研究生课程思政示范课及名师1门，立项《商法学》课程组校级虚拟教研室建设项目，《商法学》课程案例入选自治区专业学位案例库1篇，校级研究生案例库2篇，本科案例库1篇，指导省级大学生创业项目1项，校级研究生科研创新项目1项。</w:t>
            </w:r>
          </w:p>
          <w:p w14:paraId="560A953A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宋体" w:eastAsia="宋体" w:cs="宋体"/>
                <w:color w:val="auto"/>
                <w:sz w:val="18"/>
                <w:szCs w:val="18"/>
                <w:lang w:val="zh-CN" w:eastAsia="zh-CN" w:bidi="zh-CN"/>
              </w:rPr>
              <w:t>（二）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教学奖励</w:t>
            </w:r>
          </w:p>
          <w:p w14:paraId="2B4934E8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/>
                <w:color w:val="auto"/>
                <w:sz w:val="18"/>
                <w:szCs w:val="18"/>
              </w:rPr>
              <w:t>负责人获得自治区高等教育2022年度优秀教学成果1项，荣获校级教学成果二等奖1项，荣获校级教学创新大赛二等奖1项。</w:t>
            </w:r>
          </w:p>
          <w:p w14:paraId="5477A50A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宋体" w:eastAsia="宋体" w:cs="宋体"/>
                <w:color w:val="auto"/>
                <w:sz w:val="18"/>
                <w:szCs w:val="18"/>
                <w:lang w:val="zh-CN" w:eastAsia="zh-CN" w:bidi="zh-CN"/>
              </w:rPr>
              <w:t>（三）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集体教研</w:t>
            </w:r>
          </w:p>
          <w:p w14:paraId="55880C2D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Times New Roman"/>
                <w:color w:val="auto"/>
                <w:sz w:val="18"/>
                <w:szCs w:val="18"/>
              </w:rPr>
              <w:t>2022年6月立项商法学课程组虚拟教研室建设项目，成员包含6所高校法学院、1</w:t>
            </w:r>
            <w:r>
              <w:rPr>
                <w:rFonts w:hint="eastAsia" w:ascii="Times New Roman"/>
                <w:color w:val="auto"/>
                <w:sz w:val="18"/>
                <w:szCs w:val="18"/>
                <w:lang w:eastAsia="zh-CN"/>
              </w:rPr>
              <w:t>名</w:t>
            </w:r>
            <w:r>
              <w:rPr>
                <w:rFonts w:hint="eastAsia" w:ascii="Times New Roman"/>
                <w:color w:val="auto"/>
                <w:sz w:val="18"/>
                <w:szCs w:val="18"/>
              </w:rPr>
              <w:t>全国性律师</w:t>
            </w:r>
            <w:r>
              <w:rPr>
                <w:rFonts w:hint="eastAsia" w:ascii="Times New Roman"/>
                <w:color w:val="auto"/>
                <w:sz w:val="18"/>
                <w:szCs w:val="18"/>
                <w:lang w:eastAsia="zh-CN"/>
              </w:rPr>
              <w:t>。</w:t>
            </w:r>
          </w:p>
          <w:p w14:paraId="47106A4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/>
                <w:color w:val="auto"/>
                <w:sz w:val="18"/>
                <w:szCs w:val="18"/>
                <w:lang w:eastAsia="zh-CN"/>
              </w:rPr>
            </w:pPr>
          </w:p>
        </w:tc>
      </w:tr>
      <w:tr w14:paraId="7D40FF57">
        <w:trPr>
          <w:trHeight w:val="1103" w:hRule="atLeast"/>
        </w:trPr>
        <w:tc>
          <w:tcPr>
            <w:tcW w:w="2652" w:type="dxa"/>
            <w:gridSpan w:val="3"/>
            <w:vAlign w:val="center"/>
          </w:tcPr>
          <w:p w14:paraId="2339A24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从事科学研究及获奖情况</w:t>
            </w:r>
          </w:p>
        </w:tc>
        <w:tc>
          <w:tcPr>
            <w:tcW w:w="6917" w:type="dxa"/>
            <w:gridSpan w:val="8"/>
            <w:vAlign w:val="center"/>
          </w:tcPr>
          <w:p w14:paraId="65C2B34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CSSCI核心期刊论文</w:t>
            </w:r>
          </w:p>
          <w:p w14:paraId="26BE5678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zh-CN" w:eastAsia="zh-CN" w:bidi="zh-CN"/>
              </w:rPr>
              <w:t>1.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《新疆税收与税源背离问题研究》（新疆社会科学）</w:t>
            </w:r>
          </w:p>
          <w:p w14:paraId="62B0403D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2.《私募股权融资并购法律风险之检视》（新疆大学学报.哲学人文社会科学版）</w:t>
            </w:r>
          </w:p>
          <w:p w14:paraId="15BE825B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3.我国创业投资条款适用性探讨（新疆社会科学）</w:t>
            </w:r>
          </w:p>
          <w:p w14:paraId="3467953B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二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主持研究项目</w:t>
            </w:r>
          </w:p>
          <w:p w14:paraId="53330EC7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zh-CN" w:eastAsia="zh-CN" w:bidi="zh-CN"/>
              </w:rPr>
              <w:t>1.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主持自治区软科学研究项目《新疆石油税费法律制度改进研究》（2012.5）；</w:t>
            </w:r>
          </w:p>
          <w:p w14:paraId="1D792ED3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zh-CN" w:eastAsia="zh-CN" w:bidi="zh-CN"/>
              </w:rPr>
              <w:t>2.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主持校级项目《上市公司控制权交易规制的法经济学研究》（2015.06）；</w:t>
            </w:r>
          </w:p>
          <w:p w14:paraId="31652327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3.主持核工业部横向委托课题：《新疆新华水电公司十四五战略规划（北疆区）》（2019.08）；</w:t>
            </w:r>
          </w:p>
          <w:p w14:paraId="3EA065FB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4.主持自治区社科基金课题《依法治疆背景下新疆多民族城市社区共建共治共享社会治理研究》（2020.12）；</w:t>
            </w:r>
          </w:p>
          <w:p w14:paraId="5EE81AB0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5.主持新疆法学会课题《新疆城市社区治理法制化的实践路径研究》（2020.12）；</w:t>
            </w:r>
          </w:p>
          <w:p w14:paraId="4F9EDC8B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6.主持自治区高校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科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研项目《新疆城市社区共建共治共享治理法制化研究》（2021.01）；</w:t>
            </w:r>
          </w:p>
          <w:p w14:paraId="33172B01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7.主持和田地区墨玉县委委托横向课题《墨玉县扶贫资产提升研究》（2021.01）；</w:t>
            </w:r>
          </w:p>
          <w:p w14:paraId="428E9E25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8.主持自治区社科基金重点项目《习近平法治思想与边疆民族地区基层社会治理法治化研究》（2023.04）</w:t>
            </w:r>
          </w:p>
          <w:p w14:paraId="5B30EF8B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9.主持治疆方略重点项目《新疆社会治理法治化水平提升研究》（2023.06）</w:t>
            </w:r>
          </w:p>
          <w:p w14:paraId="00B634F5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10.主持自治区专家顾问团项目《习近平法治思想推进新疆基层治理法治化实践路径》（2023.05）</w:t>
            </w:r>
          </w:p>
          <w:p w14:paraId="52F9ADE9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11.主持核工业部横向招标项目《新疆新华水电公司十四五战略规划中期调整》项目（2023.06，执行负责人）</w:t>
            </w:r>
          </w:p>
          <w:p w14:paraId="471E7F55">
            <w:pPr>
              <w:pStyle w:val="1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textAlignment w:val="auto"/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14:paraId="440CBA9D">
        <w:trPr>
          <w:trHeight w:val="688" w:hRule="atLeast"/>
        </w:trPr>
        <w:tc>
          <w:tcPr>
            <w:tcW w:w="2652" w:type="dxa"/>
            <w:gridSpan w:val="3"/>
            <w:vAlign w:val="center"/>
          </w:tcPr>
          <w:p w14:paraId="3242806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近三年获得教学研究经费（万元）</w:t>
            </w:r>
          </w:p>
        </w:tc>
        <w:tc>
          <w:tcPr>
            <w:tcW w:w="3328" w:type="dxa"/>
            <w:gridSpan w:val="3"/>
            <w:vAlign w:val="center"/>
          </w:tcPr>
          <w:p w14:paraId="063499D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2551" w:type="dxa"/>
            <w:gridSpan w:val="3"/>
            <w:vAlign w:val="center"/>
          </w:tcPr>
          <w:p w14:paraId="159E395C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近三年获得科学研究经费（万元）</w:t>
            </w:r>
          </w:p>
        </w:tc>
        <w:tc>
          <w:tcPr>
            <w:tcW w:w="1038" w:type="dxa"/>
            <w:gridSpan w:val="2"/>
            <w:vAlign w:val="center"/>
          </w:tcPr>
          <w:p w14:paraId="670CEB8B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56</w:t>
            </w:r>
          </w:p>
        </w:tc>
      </w:tr>
      <w:tr w14:paraId="6B58C48B">
        <w:trPr>
          <w:trHeight w:val="828" w:hRule="atLeast"/>
        </w:trPr>
        <w:tc>
          <w:tcPr>
            <w:tcW w:w="2652" w:type="dxa"/>
            <w:gridSpan w:val="3"/>
            <w:vAlign w:val="center"/>
          </w:tcPr>
          <w:p w14:paraId="4875C77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近三年给本科生授课课程及学时数</w:t>
            </w:r>
          </w:p>
        </w:tc>
        <w:tc>
          <w:tcPr>
            <w:tcW w:w="3328" w:type="dxa"/>
            <w:gridSpan w:val="3"/>
            <w:vAlign w:val="center"/>
          </w:tcPr>
          <w:p w14:paraId="1A23458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《商法》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202学时；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《经济法律通论》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32学时</w:t>
            </w:r>
          </w:p>
        </w:tc>
        <w:tc>
          <w:tcPr>
            <w:tcW w:w="2551" w:type="dxa"/>
            <w:gridSpan w:val="3"/>
            <w:vAlign w:val="center"/>
          </w:tcPr>
          <w:p w14:paraId="4D491C8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近三年指导本科毕业设计（人次）</w:t>
            </w:r>
          </w:p>
        </w:tc>
        <w:tc>
          <w:tcPr>
            <w:tcW w:w="1038" w:type="dxa"/>
            <w:gridSpan w:val="2"/>
            <w:vAlign w:val="center"/>
          </w:tcPr>
          <w:p w14:paraId="68993C4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28</w:t>
            </w:r>
          </w:p>
        </w:tc>
      </w:tr>
    </w:tbl>
    <w:p w14:paraId="29BE11B7">
      <w:pPr>
        <w:pStyle w:val="2"/>
        <w:ind w:left="0" w:firstLine="0"/>
        <w:rPr>
          <w:rFonts w:hint="eastAsia"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</w:rPr>
        <w:t>专业主要带头人简介</w:t>
      </w:r>
      <w:r>
        <w:rPr>
          <w:rFonts w:hint="eastAsia"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6</w:t>
      </w:r>
      <w:r>
        <w:rPr>
          <w:rFonts w:hint="eastAsia" w:ascii="Times New Roman" w:hAnsi="Times New Roman" w:cs="Times New Roman"/>
          <w:color w:val="auto"/>
          <w:lang w:val="en-US"/>
        </w:rPr>
        <w:t>）</w:t>
      </w:r>
    </w:p>
    <w:tbl>
      <w:tblPr>
        <w:tblStyle w:val="11"/>
        <w:tblW w:w="9569" w:type="dxa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254"/>
        <w:gridCol w:w="991"/>
        <w:gridCol w:w="878"/>
        <w:gridCol w:w="1459"/>
        <w:gridCol w:w="257"/>
        <w:gridCol w:w="1113"/>
        <w:gridCol w:w="964"/>
        <w:gridCol w:w="264"/>
        <w:gridCol w:w="991"/>
      </w:tblGrid>
      <w:tr w14:paraId="46F59CB2">
        <w:trPr>
          <w:trHeight w:val="1105" w:hRule="atLeast"/>
        </w:trPr>
        <w:tc>
          <w:tcPr>
            <w:tcW w:w="960" w:type="dxa"/>
            <w:vAlign w:val="center"/>
          </w:tcPr>
          <w:p w14:paraId="4B3B5F0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438" w:type="dxa"/>
            <w:vAlign w:val="center"/>
          </w:tcPr>
          <w:p w14:paraId="5442B767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  <w:t>地丽格娜·地里夏提</w:t>
            </w:r>
          </w:p>
        </w:tc>
        <w:tc>
          <w:tcPr>
            <w:tcW w:w="1245" w:type="dxa"/>
            <w:gridSpan w:val="2"/>
            <w:vAlign w:val="center"/>
          </w:tcPr>
          <w:p w14:paraId="5E24AA1B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78" w:type="dxa"/>
            <w:vAlign w:val="center"/>
          </w:tcPr>
          <w:p w14:paraId="146555D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女</w:t>
            </w:r>
          </w:p>
        </w:tc>
        <w:tc>
          <w:tcPr>
            <w:tcW w:w="1716" w:type="dxa"/>
            <w:gridSpan w:val="2"/>
            <w:vAlign w:val="center"/>
          </w:tcPr>
          <w:p w14:paraId="79957CE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专业技术职务</w:t>
            </w:r>
          </w:p>
        </w:tc>
        <w:tc>
          <w:tcPr>
            <w:tcW w:w="1113" w:type="dxa"/>
            <w:vAlign w:val="center"/>
          </w:tcPr>
          <w:p w14:paraId="01BA90EE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副教授</w:t>
            </w:r>
          </w:p>
        </w:tc>
        <w:tc>
          <w:tcPr>
            <w:tcW w:w="1228" w:type="dxa"/>
            <w:gridSpan w:val="2"/>
            <w:vAlign w:val="center"/>
          </w:tcPr>
          <w:p w14:paraId="7B87B785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行政职务</w:t>
            </w:r>
          </w:p>
        </w:tc>
        <w:tc>
          <w:tcPr>
            <w:tcW w:w="991" w:type="dxa"/>
            <w:vAlign w:val="center"/>
          </w:tcPr>
          <w:p w14:paraId="1462BD56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无</w:t>
            </w:r>
          </w:p>
        </w:tc>
      </w:tr>
      <w:tr w14:paraId="68822920">
        <w:trPr>
          <w:trHeight w:val="602" w:hRule="atLeast"/>
        </w:trPr>
        <w:tc>
          <w:tcPr>
            <w:tcW w:w="960" w:type="dxa"/>
            <w:vAlign w:val="center"/>
          </w:tcPr>
          <w:p w14:paraId="3461806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拟承担课程</w:t>
            </w:r>
          </w:p>
        </w:tc>
        <w:tc>
          <w:tcPr>
            <w:tcW w:w="3561" w:type="dxa"/>
            <w:gridSpan w:val="4"/>
            <w:vAlign w:val="center"/>
          </w:tcPr>
          <w:p w14:paraId="01D7B072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/>
              </w:rPr>
              <w:t>国际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环境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/>
              </w:rPr>
              <w:t>法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、国际法案例选读</w:t>
            </w:r>
          </w:p>
        </w:tc>
        <w:tc>
          <w:tcPr>
            <w:tcW w:w="1716" w:type="dxa"/>
            <w:gridSpan w:val="2"/>
            <w:vAlign w:val="center"/>
          </w:tcPr>
          <w:p w14:paraId="1983FD2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现在所在单位</w:t>
            </w:r>
          </w:p>
        </w:tc>
        <w:tc>
          <w:tcPr>
            <w:tcW w:w="3332" w:type="dxa"/>
            <w:gridSpan w:val="4"/>
            <w:vAlign w:val="center"/>
          </w:tcPr>
          <w:p w14:paraId="09AAABC8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新疆财经大学法学院</w:t>
            </w:r>
          </w:p>
        </w:tc>
      </w:tr>
      <w:tr w14:paraId="0DB6F807">
        <w:trPr>
          <w:trHeight w:val="777" w:hRule="atLeast"/>
        </w:trPr>
        <w:tc>
          <w:tcPr>
            <w:tcW w:w="2652" w:type="dxa"/>
            <w:gridSpan w:val="3"/>
            <w:vAlign w:val="center"/>
          </w:tcPr>
          <w:p w14:paraId="1A5BDC69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最后学历毕业时间、学校、专业</w:t>
            </w:r>
          </w:p>
        </w:tc>
        <w:tc>
          <w:tcPr>
            <w:tcW w:w="6917" w:type="dxa"/>
            <w:gridSpan w:val="8"/>
            <w:vAlign w:val="center"/>
          </w:tcPr>
          <w:p w14:paraId="088ADF5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博士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2024.06，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同济大学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知识产权专业</w:t>
            </w:r>
          </w:p>
        </w:tc>
      </w:tr>
      <w:tr w14:paraId="30C3A499">
        <w:trPr>
          <w:trHeight w:val="546" w:hRule="atLeast"/>
        </w:trPr>
        <w:tc>
          <w:tcPr>
            <w:tcW w:w="2652" w:type="dxa"/>
            <w:gridSpan w:val="3"/>
            <w:vAlign w:val="center"/>
          </w:tcPr>
          <w:p w14:paraId="3C5ADCB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主要研究方向</w:t>
            </w:r>
          </w:p>
        </w:tc>
        <w:tc>
          <w:tcPr>
            <w:tcW w:w="6917" w:type="dxa"/>
            <w:gridSpan w:val="8"/>
            <w:vAlign w:val="center"/>
          </w:tcPr>
          <w:p w14:paraId="61B65EAB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国际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知识产权法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知识产权管理</w:t>
            </w:r>
          </w:p>
        </w:tc>
      </w:tr>
      <w:tr w14:paraId="106380D3">
        <w:trPr>
          <w:trHeight w:val="1247" w:hRule="atLeast"/>
        </w:trPr>
        <w:tc>
          <w:tcPr>
            <w:tcW w:w="2652" w:type="dxa"/>
            <w:gridSpan w:val="3"/>
            <w:vAlign w:val="center"/>
          </w:tcPr>
          <w:p w14:paraId="14D3511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从事教育教学改革研究及获奖情况（含教改项目、研究论文、慕课、</w:t>
            </w:r>
          </w:p>
          <w:p w14:paraId="6F4473A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教材等）</w:t>
            </w:r>
          </w:p>
        </w:tc>
        <w:tc>
          <w:tcPr>
            <w:tcW w:w="6917" w:type="dxa"/>
            <w:gridSpan w:val="8"/>
          </w:tcPr>
          <w:p w14:paraId="6AF98B9E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第五届全国教师教学创新大赛校级，“融学于趣·智能交叉·实践情境”《知识产权法》教学创新项目。（新疆财经大学，地丽格娜·地里夏提，负责人，2025年1月。）</w:t>
            </w:r>
          </w:p>
          <w:p w14:paraId="3AF380A6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教学研究论文 《论传统文化在课程思政中的激活与融合——以传统知识保护课程为例》，《高教学刊》，地丽格娜·地里夏提，一作，2025年1月。</w:t>
            </w:r>
          </w:p>
          <w:p w14:paraId="149CDC3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同济大学研究生课程思政示范课程建设项目，《传统知识保护专题》（2021KCSZKC31），地丽格娜·地里夏提，参与人，排名第三，2023年12月。</w:t>
            </w:r>
          </w:p>
        </w:tc>
      </w:tr>
      <w:tr w14:paraId="21093FE5">
        <w:trPr>
          <w:trHeight w:val="1103" w:hRule="atLeast"/>
        </w:trPr>
        <w:tc>
          <w:tcPr>
            <w:tcW w:w="2652" w:type="dxa"/>
            <w:gridSpan w:val="3"/>
            <w:vAlign w:val="center"/>
          </w:tcPr>
          <w:p w14:paraId="69351A9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从事科学研究及获奖情况</w:t>
            </w:r>
          </w:p>
        </w:tc>
        <w:tc>
          <w:tcPr>
            <w:tcW w:w="6917" w:type="dxa"/>
            <w:gridSpan w:val="8"/>
            <w:vAlign w:val="center"/>
          </w:tcPr>
          <w:p w14:paraId="139D796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主持课题：2024年国家社科基金西部项目《我国非物质文化遗产生产性保护政策实施效果评估与路径优化研究》（24XGL025），在研。</w:t>
            </w:r>
          </w:p>
          <w:p w14:paraId="178D9A29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参与课题：2020年国家社科基金一般项目《人格权财产利益保护研究》（ZX20220040)，参与人（排位第三），已结项。</w:t>
            </w:r>
          </w:p>
          <w:p w14:paraId="176BBD98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主持课题：2017年新疆财经大学校级课题《丝绸之路经济带视野下 “环阿尔泰山次区域”知识产权合作问题研究》（022018001027），已结项。</w:t>
            </w:r>
          </w:p>
          <w:p w14:paraId="63BC5896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论文（一作，SSCI）Dilixiati Diligena, Xiaoting Song, Benefit-sharing model of traditional knowledge based on substantive fairness in China [J]. Queen Mary Journal of Intellectual Property, Volume 13, Issue (2023) pp. 75-96.</w:t>
            </w:r>
          </w:p>
          <w:p w14:paraId="09EA8B8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5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论文（一作，CSSCI）地丽格娜·地里夏提, 宋晓亭. 基于PMC指数模型的文化遗产保护与创新政策的量化评价 [J]. 云南民族大学学报(哲学社会科学版), 2023, 40(02): 52-63.</w:t>
            </w:r>
          </w:p>
          <w:p w14:paraId="1C7FE49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论文（独作，北大核心）地丽格娜·地里夏提.传统工艺企业创新如何影响企业绩效的提升？[J].管理现化,2024,44(06):131-144.</w:t>
            </w:r>
          </w:p>
          <w:p w14:paraId="7E7B1AB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7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论文（一作，北大核心）地丽格娜·地里夏提,宋晓亭.中药品种保护制度研究现状[J].中草药,2022,53(12):3870-388.</w:t>
            </w:r>
          </w:p>
          <w:p w14:paraId="6F4110DF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8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论文（一作，CSSCI扩展版）地丽格娜·地里夏提,宋晓亭.合理使用在我国著作权司法实践中的适用——基于113个诉讼案例的实证分析[J].科技与法律(中英文),2022(01):109-117.</w:t>
            </w:r>
          </w:p>
          <w:p w14:paraId="226D1E0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9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论文（一作，CSSCI扩展版）地丽格娜·地里夏提,宋晓亭.中药品种保护制度与药品试验数据保护制度比较研究——兼论中药品种保护制度的完善[J].贵州师范大学学报(社会科学版),2022(02):151-160.</w:t>
            </w:r>
          </w:p>
          <w:p w14:paraId="3A4C380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36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10</w:t>
            </w:r>
            <w:r>
              <w:rPr>
                <w:rFonts w:hint="eastAsia" w:cs="宋体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论文（通讯，SSCI）Liwen Qi, Xiaoting Song, Dilixiati Diligena, Game Analysis of Different Source Disclosure Model for Genetic Resources and Implications for China [J], Journal of World Trade, Volume 57, Issue 5 (2023) pp. 851 – 874.</w:t>
            </w:r>
          </w:p>
        </w:tc>
      </w:tr>
      <w:tr w14:paraId="015D58FB">
        <w:trPr>
          <w:trHeight w:val="758" w:hRule="atLeast"/>
        </w:trPr>
        <w:tc>
          <w:tcPr>
            <w:tcW w:w="2652" w:type="dxa"/>
            <w:gridSpan w:val="3"/>
            <w:vAlign w:val="center"/>
          </w:tcPr>
          <w:p w14:paraId="3436A24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近三年获得教学研究经费（万元）</w:t>
            </w:r>
          </w:p>
        </w:tc>
        <w:tc>
          <w:tcPr>
            <w:tcW w:w="3328" w:type="dxa"/>
            <w:gridSpan w:val="3"/>
            <w:vAlign w:val="center"/>
          </w:tcPr>
          <w:p w14:paraId="19FEF13D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</w:t>
            </w:r>
          </w:p>
        </w:tc>
        <w:tc>
          <w:tcPr>
            <w:tcW w:w="2334" w:type="dxa"/>
            <w:gridSpan w:val="3"/>
            <w:vAlign w:val="center"/>
          </w:tcPr>
          <w:p w14:paraId="478DC0CD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近三年获得科学研究经费（万元）</w:t>
            </w:r>
          </w:p>
        </w:tc>
        <w:tc>
          <w:tcPr>
            <w:tcW w:w="1255" w:type="dxa"/>
            <w:gridSpan w:val="2"/>
            <w:vAlign w:val="center"/>
          </w:tcPr>
          <w:p w14:paraId="09F720AB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</w:t>
            </w:r>
          </w:p>
        </w:tc>
      </w:tr>
      <w:tr w14:paraId="0ACA9DC2">
        <w:trPr>
          <w:trHeight w:val="881" w:hRule="atLeast"/>
        </w:trPr>
        <w:tc>
          <w:tcPr>
            <w:tcW w:w="2652" w:type="dxa"/>
            <w:gridSpan w:val="3"/>
            <w:vAlign w:val="center"/>
          </w:tcPr>
          <w:p w14:paraId="5057F1D8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近三年给本科生授课课程及学时数</w:t>
            </w:r>
          </w:p>
        </w:tc>
        <w:tc>
          <w:tcPr>
            <w:tcW w:w="3328" w:type="dxa"/>
            <w:gridSpan w:val="3"/>
            <w:vAlign w:val="center"/>
          </w:tcPr>
          <w:p w14:paraId="7F7A5C67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《知识产权法》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民事法律诊所</w:t>
            </w:r>
            <w:r>
              <w:rPr>
                <w:rFonts w:hint="eastAsia" w:cs="宋体"/>
                <w:color w:val="auto"/>
                <w:sz w:val="21"/>
                <w:szCs w:val="21"/>
                <w:lang w:eastAsia="zh-CN"/>
              </w:rPr>
              <w:t>》</w:t>
            </w:r>
          </w:p>
          <w:p w14:paraId="764A6B1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208学时</w:t>
            </w:r>
          </w:p>
        </w:tc>
        <w:tc>
          <w:tcPr>
            <w:tcW w:w="2334" w:type="dxa"/>
            <w:gridSpan w:val="3"/>
            <w:vAlign w:val="center"/>
          </w:tcPr>
          <w:p w14:paraId="592B665E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近三年指导本科毕业设计（人次）</w:t>
            </w:r>
          </w:p>
        </w:tc>
        <w:tc>
          <w:tcPr>
            <w:tcW w:w="1255" w:type="dxa"/>
            <w:gridSpan w:val="2"/>
            <w:vAlign w:val="center"/>
          </w:tcPr>
          <w:p w14:paraId="34913DA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8</w:t>
            </w:r>
          </w:p>
        </w:tc>
      </w:tr>
    </w:tbl>
    <w:p w14:paraId="15351CA4">
      <w:pPr>
        <w:rPr>
          <w:lang w:val="en-US"/>
        </w:rPr>
      </w:pPr>
    </w:p>
    <w:p w14:paraId="30D74718">
      <w:pPr>
        <w:rPr>
          <w:lang w:val="en-US"/>
        </w:rPr>
      </w:pPr>
    </w:p>
    <w:p w14:paraId="3F409448">
      <w:pPr>
        <w:rPr>
          <w:lang w:val="en-US"/>
        </w:rPr>
      </w:pPr>
    </w:p>
    <w:p w14:paraId="33E353D9">
      <w:pPr>
        <w:pStyle w:val="2"/>
        <w:ind w:left="0" w:firstLine="0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color w:val="auto"/>
        </w:rPr>
        <w:t>专业主要带头人简介</w:t>
      </w:r>
      <w:r>
        <w:rPr>
          <w:rFonts w:hint="eastAsia" w:ascii="Times New Roman" w:hAnsi="Times New Roman" w:cs="Times New Roman"/>
          <w:color w:val="auto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7</w:t>
      </w:r>
      <w:r>
        <w:rPr>
          <w:rFonts w:hint="eastAsia" w:ascii="Times New Roman" w:hAnsi="Times New Roman" w:cs="Times New Roman"/>
          <w:color w:val="auto"/>
          <w:lang w:val="en-US"/>
        </w:rPr>
        <w:t>）</w:t>
      </w:r>
    </w:p>
    <w:p w14:paraId="4CACDA88">
      <w:pPr>
        <w:pStyle w:val="2"/>
        <w:ind w:left="0" w:firstLine="0"/>
        <w:rPr>
          <w:rFonts w:ascii="Times New Roman" w:hAnsi="Times New Roman" w:cs="Times New Roman"/>
          <w:color w:val="auto"/>
          <w:sz w:val="21"/>
          <w:szCs w:val="21"/>
        </w:rPr>
      </w:pP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"/>
        <w:gridCol w:w="1438"/>
        <w:gridCol w:w="105"/>
        <w:gridCol w:w="1140"/>
        <w:gridCol w:w="878"/>
        <w:gridCol w:w="1459"/>
        <w:gridCol w:w="257"/>
        <w:gridCol w:w="1113"/>
        <w:gridCol w:w="1181"/>
        <w:gridCol w:w="47"/>
        <w:gridCol w:w="991"/>
      </w:tblGrid>
      <w:tr w14:paraId="4AEFC6BD">
        <w:trPr>
          <w:trHeight w:val="664" w:hRule="atLeast"/>
        </w:trPr>
        <w:tc>
          <w:tcPr>
            <w:tcW w:w="960" w:type="dxa"/>
            <w:noWrap w:val="0"/>
            <w:vAlign w:val="center"/>
          </w:tcPr>
          <w:p w14:paraId="12815047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438" w:type="dxa"/>
            <w:noWrap w:val="0"/>
            <w:vAlign w:val="center"/>
          </w:tcPr>
          <w:p w14:paraId="7CE80F25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张远</w:t>
            </w:r>
          </w:p>
        </w:tc>
        <w:tc>
          <w:tcPr>
            <w:tcW w:w="1245" w:type="dxa"/>
            <w:gridSpan w:val="2"/>
            <w:noWrap w:val="0"/>
            <w:vAlign w:val="center"/>
          </w:tcPr>
          <w:p w14:paraId="6C5421D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78" w:type="dxa"/>
            <w:noWrap w:val="0"/>
            <w:vAlign w:val="center"/>
          </w:tcPr>
          <w:p w14:paraId="3D6DC04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716" w:type="dxa"/>
            <w:gridSpan w:val="2"/>
            <w:noWrap w:val="0"/>
            <w:vAlign w:val="center"/>
          </w:tcPr>
          <w:p w14:paraId="1F6E90A5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专业技术职务</w:t>
            </w:r>
          </w:p>
        </w:tc>
        <w:tc>
          <w:tcPr>
            <w:tcW w:w="1113" w:type="dxa"/>
            <w:noWrap w:val="0"/>
            <w:vAlign w:val="center"/>
          </w:tcPr>
          <w:p w14:paraId="712AB539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228" w:type="dxa"/>
            <w:gridSpan w:val="2"/>
            <w:noWrap w:val="0"/>
            <w:vAlign w:val="center"/>
          </w:tcPr>
          <w:p w14:paraId="3F071DFE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行政职务</w:t>
            </w:r>
          </w:p>
        </w:tc>
        <w:tc>
          <w:tcPr>
            <w:tcW w:w="991" w:type="dxa"/>
            <w:noWrap w:val="0"/>
            <w:vAlign w:val="center"/>
          </w:tcPr>
          <w:p w14:paraId="1539254B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无</w:t>
            </w:r>
          </w:p>
        </w:tc>
      </w:tr>
      <w:tr w14:paraId="4DE3CF28">
        <w:trPr>
          <w:trHeight w:val="775" w:hRule="atLeast"/>
        </w:trPr>
        <w:tc>
          <w:tcPr>
            <w:tcW w:w="960" w:type="dxa"/>
            <w:noWrap w:val="0"/>
            <w:vAlign w:val="center"/>
          </w:tcPr>
          <w:p w14:paraId="1DF49D55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拟承担课程</w:t>
            </w:r>
          </w:p>
        </w:tc>
        <w:tc>
          <w:tcPr>
            <w:tcW w:w="3561" w:type="dxa"/>
            <w:gridSpan w:val="4"/>
            <w:noWrap w:val="0"/>
            <w:vAlign w:val="center"/>
          </w:tcPr>
          <w:p w14:paraId="5C46677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国际投资法、国际法案例选读、国际法</w:t>
            </w:r>
          </w:p>
        </w:tc>
        <w:tc>
          <w:tcPr>
            <w:tcW w:w="1716" w:type="dxa"/>
            <w:gridSpan w:val="2"/>
            <w:noWrap w:val="0"/>
            <w:vAlign w:val="center"/>
          </w:tcPr>
          <w:p w14:paraId="79F9B90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现在所在单位</w:t>
            </w:r>
          </w:p>
        </w:tc>
        <w:tc>
          <w:tcPr>
            <w:tcW w:w="3332" w:type="dxa"/>
            <w:gridSpan w:val="4"/>
            <w:noWrap w:val="0"/>
            <w:vAlign w:val="center"/>
          </w:tcPr>
          <w:p w14:paraId="5373F10C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新疆财经大学法学院</w:t>
            </w:r>
          </w:p>
        </w:tc>
      </w:tr>
      <w:tr w14:paraId="1EEB1F21">
        <w:trPr>
          <w:trHeight w:val="834" w:hRule="atLeast"/>
        </w:trPr>
        <w:tc>
          <w:tcPr>
            <w:tcW w:w="2503" w:type="dxa"/>
            <w:gridSpan w:val="3"/>
            <w:noWrap w:val="0"/>
            <w:vAlign w:val="center"/>
          </w:tcPr>
          <w:p w14:paraId="07D9E39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pacing w:val="-20"/>
                <w:sz w:val="24"/>
              </w:rPr>
              <w:t>最后学历毕业时间、</w:t>
            </w:r>
            <w:r>
              <w:rPr>
                <w:rFonts w:ascii="Times New Roman" w:hAnsi="Times New Roman" w:cs="Times New Roman"/>
                <w:color w:val="auto"/>
                <w:spacing w:val="-17"/>
                <w:sz w:val="24"/>
              </w:rPr>
              <w:t>学校、专业</w:t>
            </w:r>
          </w:p>
        </w:tc>
        <w:tc>
          <w:tcPr>
            <w:tcW w:w="7066" w:type="dxa"/>
            <w:gridSpan w:val="8"/>
            <w:noWrap w:val="0"/>
            <w:vAlign w:val="center"/>
          </w:tcPr>
          <w:p w14:paraId="73AE212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ascii="Times New Roman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 w:val="24"/>
                <w:lang w:val="en-US" w:eastAsia="zh-CN"/>
              </w:rPr>
              <w:t>博士，2025.06，新疆师范大学，马克思主义理论专业</w:t>
            </w:r>
          </w:p>
        </w:tc>
      </w:tr>
      <w:tr w14:paraId="6F5F7040">
        <w:trPr>
          <w:trHeight w:val="871" w:hRule="atLeast"/>
        </w:trPr>
        <w:tc>
          <w:tcPr>
            <w:tcW w:w="2503" w:type="dxa"/>
            <w:gridSpan w:val="3"/>
            <w:noWrap w:val="0"/>
            <w:vAlign w:val="center"/>
          </w:tcPr>
          <w:p w14:paraId="7CA18D6B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主要研究方向</w:t>
            </w:r>
          </w:p>
        </w:tc>
        <w:tc>
          <w:tcPr>
            <w:tcW w:w="7066" w:type="dxa"/>
            <w:gridSpan w:val="8"/>
            <w:noWrap w:val="0"/>
            <w:vAlign w:val="center"/>
          </w:tcPr>
          <w:p w14:paraId="5DE4B64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习近平法治思想、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国际法</w:t>
            </w:r>
          </w:p>
        </w:tc>
      </w:tr>
      <w:tr w14:paraId="037EC402">
        <w:trPr>
          <w:trHeight w:val="1247" w:hRule="atLeast"/>
        </w:trPr>
        <w:tc>
          <w:tcPr>
            <w:tcW w:w="2503" w:type="dxa"/>
            <w:gridSpan w:val="3"/>
            <w:noWrap w:val="0"/>
            <w:vAlign w:val="top"/>
          </w:tcPr>
          <w:p w14:paraId="3084D8BF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从事教育教学改革研究及获奖情况（含教改项目、研究论文、慕课、教材等）</w:t>
            </w:r>
          </w:p>
        </w:tc>
        <w:tc>
          <w:tcPr>
            <w:tcW w:w="7066" w:type="dxa"/>
            <w:gridSpan w:val="8"/>
            <w:noWrap w:val="0"/>
            <w:vAlign w:val="center"/>
          </w:tcPr>
          <w:p w14:paraId="39F4EF2D">
            <w:pPr>
              <w:pStyle w:val="1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教改项目：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新疆高校课程思政协同育人体系研究——以新疆财经大学为例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项目编号：2021JG19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已结项。</w:t>
            </w:r>
          </w:p>
          <w:p w14:paraId="6D470A4F">
            <w:pPr>
              <w:pStyle w:val="13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cs="宋体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发表教改论文：《新时代高校课程思政建设的价值意蕴、核心变量和实践理路》。</w:t>
            </w:r>
          </w:p>
        </w:tc>
      </w:tr>
      <w:tr w14:paraId="59E85606">
        <w:trPr>
          <w:trHeight w:val="1085" w:hRule="atLeast"/>
        </w:trPr>
        <w:tc>
          <w:tcPr>
            <w:tcW w:w="2503" w:type="dxa"/>
            <w:gridSpan w:val="3"/>
            <w:noWrap w:val="0"/>
            <w:vAlign w:val="center"/>
          </w:tcPr>
          <w:p w14:paraId="5952089D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从事科学研究及获奖情况</w:t>
            </w:r>
          </w:p>
        </w:tc>
        <w:tc>
          <w:tcPr>
            <w:tcW w:w="7066" w:type="dxa"/>
            <w:gridSpan w:val="8"/>
            <w:noWrap w:val="0"/>
            <w:vAlign w:val="center"/>
          </w:tcPr>
          <w:p w14:paraId="39474C0B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（一）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发表论文</w:t>
            </w:r>
          </w:p>
          <w:p w14:paraId="1571917E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《中国式农业农村现代化转型：运作逻辑、阻滞困境与路径突破》2023年发表于《当代经济研究》（CSSCI）。（一作）</w:t>
            </w:r>
          </w:p>
          <w:p w14:paraId="13495E5A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《高校法治文化融入立德树人的理论机制、现实困境与实践出路》2019年发表于《南京政治学院学报》（CSSCI扩展版）。（独作）</w:t>
            </w:r>
          </w:p>
          <w:p w14:paraId="386B5A27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《生态文化发展背景下高校文化育人路径探索——析&lt;高校生态文化建设与文化育人路径探索&gt;》2024年发表于《环境保护》（CSSCI扩展版）。（二作）</w:t>
            </w:r>
          </w:p>
          <w:p w14:paraId="62108A7D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（二）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咨政报告</w:t>
            </w:r>
          </w:p>
          <w:p w14:paraId="30A781B3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《我区职业院校(技工学校)学生思想和就业等情况分析报告》于2023年12月获省部级部门采纳。</w:t>
            </w:r>
          </w:p>
          <w:p w14:paraId="16B44CA4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《南疆农村妇女思想现状及制约因素分析报告》于2024年8月获省部级部门采纳。</w:t>
            </w:r>
          </w:p>
          <w:p w14:paraId="6A69DF27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《全国两会关注度逐渐走高 相关舆论总体积极正向——全国两会前夕我区社会舆情分析报告》于2024年3月获国家级领导人肯定性批复；</w:t>
            </w:r>
          </w:p>
          <w:p w14:paraId="4C34C1A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《疆内汉餐厅少数民族务工人员思想动态分析报告》于2024年8月获国家级领导人肯定性批复。</w:t>
            </w:r>
          </w:p>
          <w:p w14:paraId="792DE7D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《新疆和田学院近七成其他省区市毕业生留疆就业 相关做法值得推广借鉴》于2024年11月获国家级领导人肯定性批复。</w:t>
            </w:r>
          </w:p>
          <w:p w14:paraId="28E8A950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（三）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获奖情况</w:t>
            </w:r>
          </w:p>
          <w:p w14:paraId="674ACBB7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42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本人撰写的《铸牢中华民族共同体意识的法治理论探赜及其实践进路》于2023年10月获得“中国式现代化与新时代党的治疆方略”学术研讨会（新疆社会科学院举办）青年学者（学子）优秀论文奖。</w:t>
            </w:r>
          </w:p>
        </w:tc>
      </w:tr>
      <w:tr w14:paraId="509163B0">
        <w:trPr>
          <w:trHeight w:val="832" w:hRule="atLeast"/>
        </w:trPr>
        <w:tc>
          <w:tcPr>
            <w:tcW w:w="2503" w:type="dxa"/>
            <w:gridSpan w:val="3"/>
            <w:noWrap w:val="0"/>
            <w:vAlign w:val="center"/>
          </w:tcPr>
          <w:p w14:paraId="3CFBBC69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近三年获得教学研究经费（万元）</w:t>
            </w:r>
          </w:p>
        </w:tc>
        <w:tc>
          <w:tcPr>
            <w:tcW w:w="3477" w:type="dxa"/>
            <w:gridSpan w:val="3"/>
            <w:noWrap w:val="0"/>
            <w:vAlign w:val="center"/>
          </w:tcPr>
          <w:p w14:paraId="79F72F28">
            <w:pPr>
              <w:pStyle w:val="13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2551" w:type="dxa"/>
            <w:gridSpan w:val="3"/>
            <w:noWrap w:val="0"/>
            <w:vAlign w:val="center"/>
          </w:tcPr>
          <w:p w14:paraId="6EDF0392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近三年获得科学研究经费（万元）</w:t>
            </w:r>
          </w:p>
        </w:tc>
        <w:tc>
          <w:tcPr>
            <w:tcW w:w="1038" w:type="dxa"/>
            <w:gridSpan w:val="2"/>
            <w:noWrap w:val="0"/>
            <w:vAlign w:val="center"/>
          </w:tcPr>
          <w:p w14:paraId="70605006">
            <w:pPr>
              <w:pStyle w:val="13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20</w:t>
            </w:r>
          </w:p>
        </w:tc>
      </w:tr>
      <w:tr w14:paraId="63AE3935">
        <w:trPr>
          <w:trHeight w:val="881" w:hRule="atLeast"/>
        </w:trPr>
        <w:tc>
          <w:tcPr>
            <w:tcW w:w="2503" w:type="dxa"/>
            <w:gridSpan w:val="3"/>
            <w:noWrap w:val="0"/>
            <w:vAlign w:val="center"/>
          </w:tcPr>
          <w:p w14:paraId="5C56D3A2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近三年给本科生授课课程及学时数</w:t>
            </w:r>
          </w:p>
        </w:tc>
        <w:tc>
          <w:tcPr>
            <w:tcW w:w="3477" w:type="dxa"/>
            <w:gridSpan w:val="3"/>
            <w:noWrap w:val="0"/>
            <w:vAlign w:val="center"/>
          </w:tcPr>
          <w:p w14:paraId="50348C6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《国际法》36学时；《国际商法》72学时</w:t>
            </w:r>
          </w:p>
        </w:tc>
        <w:tc>
          <w:tcPr>
            <w:tcW w:w="2551" w:type="dxa"/>
            <w:gridSpan w:val="3"/>
            <w:noWrap w:val="0"/>
            <w:vAlign w:val="center"/>
          </w:tcPr>
          <w:p w14:paraId="650E6C75">
            <w:pPr>
              <w:pStyle w:val="1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10" w:leftChars="50" w:right="110" w:rightChars="50" w:firstLine="0"/>
              <w:jc w:val="center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近三年指导本科毕业设计（人次）</w:t>
            </w:r>
          </w:p>
        </w:tc>
        <w:tc>
          <w:tcPr>
            <w:tcW w:w="1038" w:type="dxa"/>
            <w:gridSpan w:val="2"/>
            <w:noWrap w:val="0"/>
            <w:vAlign w:val="center"/>
          </w:tcPr>
          <w:p w14:paraId="1F649A68">
            <w:pPr>
              <w:pStyle w:val="13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6</w:t>
            </w:r>
          </w:p>
        </w:tc>
      </w:tr>
    </w:tbl>
    <w:p w14:paraId="089E8964">
      <w:pPr>
        <w:rPr>
          <w:rFonts w:hint="eastAsia"/>
          <w:color w:val="auto"/>
          <w:lang w:val="en-US"/>
        </w:rPr>
      </w:pPr>
    </w:p>
    <w:p w14:paraId="6D240B90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6.教学条件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5"/>
        <w:gridCol w:w="1838"/>
        <w:gridCol w:w="2978"/>
        <w:gridCol w:w="1809"/>
      </w:tblGrid>
      <w:tr w14:paraId="1403DB5D">
        <w:trPr>
          <w:trHeight w:val="623" w:hRule="atLeast"/>
        </w:trPr>
        <w:tc>
          <w:tcPr>
            <w:tcW w:w="2945" w:type="dxa"/>
            <w:tcBorders>
              <w:right w:val="single" w:color="000000" w:sz="6" w:space="0"/>
            </w:tcBorders>
            <w:noWrap w:val="0"/>
            <w:vAlign w:val="center"/>
          </w:tcPr>
          <w:p w14:paraId="61BE2702">
            <w:pPr>
              <w:pStyle w:val="13"/>
              <w:spacing w:line="307" w:lineRule="exact"/>
              <w:ind w:left="130" w:right="121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可用于该专业的教学</w:t>
            </w:r>
          </w:p>
          <w:p w14:paraId="69FD7E50">
            <w:pPr>
              <w:pStyle w:val="13"/>
              <w:spacing w:before="4" w:line="292" w:lineRule="exact"/>
              <w:ind w:left="130" w:right="121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实验设备总价值（万元）</w:t>
            </w:r>
          </w:p>
        </w:tc>
        <w:tc>
          <w:tcPr>
            <w:tcW w:w="1838" w:type="dxa"/>
            <w:tcBorders>
              <w:left w:val="single" w:color="000000" w:sz="6" w:space="0"/>
            </w:tcBorders>
            <w:noWrap w:val="0"/>
            <w:vAlign w:val="center"/>
          </w:tcPr>
          <w:p w14:paraId="1DA01D18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335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.</w:t>
            </w: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7895</w:t>
            </w:r>
          </w:p>
        </w:tc>
        <w:tc>
          <w:tcPr>
            <w:tcW w:w="2978" w:type="dxa"/>
            <w:noWrap w:val="0"/>
            <w:vAlign w:val="top"/>
          </w:tcPr>
          <w:p w14:paraId="2B0FB99F">
            <w:pPr>
              <w:pStyle w:val="13"/>
              <w:spacing w:line="307" w:lineRule="exact"/>
              <w:ind w:left="408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可用于该专业的教学</w:t>
            </w:r>
          </w:p>
          <w:p w14:paraId="295B563D">
            <w:pPr>
              <w:pStyle w:val="13"/>
              <w:spacing w:before="4" w:line="292" w:lineRule="exact"/>
              <w:ind w:left="108" w:right="-29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实验设备数量（千元以上</w:t>
            </w:r>
            <w:r>
              <w:rPr>
                <w:rFonts w:ascii="Times New Roman" w:hAnsi="Times New Roman" w:cs="Times New Roman"/>
                <w:color w:val="auto"/>
                <w:spacing w:val="-11"/>
                <w:sz w:val="24"/>
              </w:rPr>
              <w:t>）</w:t>
            </w:r>
          </w:p>
        </w:tc>
        <w:tc>
          <w:tcPr>
            <w:tcW w:w="1809" w:type="dxa"/>
            <w:noWrap w:val="0"/>
            <w:vAlign w:val="center"/>
          </w:tcPr>
          <w:p w14:paraId="06205A23">
            <w:pPr>
              <w:pStyle w:val="13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/>
                <w:color w:val="auto"/>
                <w:sz w:val="24"/>
              </w:rPr>
              <w:t>200（台</w:t>
            </w:r>
            <w:r>
              <w:rPr>
                <w:rFonts w:ascii="Times New Roman"/>
                <w:color w:val="auto"/>
                <w:sz w:val="24"/>
                <w:lang w:val="en-US"/>
              </w:rPr>
              <w:t>/</w:t>
            </w:r>
            <w:r>
              <w:rPr>
                <w:rFonts w:hint="eastAsia" w:ascii="Times New Roman"/>
                <w:color w:val="auto"/>
                <w:sz w:val="24"/>
                <w:lang w:val="en-US"/>
              </w:rPr>
              <w:t>件</w:t>
            </w:r>
            <w:r>
              <w:rPr>
                <w:rFonts w:hint="eastAsia" w:ascii="Times New Roman"/>
                <w:color w:val="auto"/>
                <w:sz w:val="24"/>
              </w:rPr>
              <w:t>）</w:t>
            </w:r>
          </w:p>
        </w:tc>
      </w:tr>
      <w:tr w14:paraId="34BEB489">
        <w:trPr>
          <w:trHeight w:val="556" w:hRule="atLeast"/>
        </w:trPr>
        <w:tc>
          <w:tcPr>
            <w:tcW w:w="2945" w:type="dxa"/>
            <w:tcBorders>
              <w:right w:val="single" w:color="000000" w:sz="6" w:space="0"/>
            </w:tcBorders>
            <w:noWrap w:val="0"/>
            <w:vAlign w:val="center"/>
          </w:tcPr>
          <w:p w14:paraId="14CE4C3B">
            <w:pPr>
              <w:pStyle w:val="13"/>
              <w:spacing w:before="124"/>
              <w:ind w:left="147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开办经费及来源</w:t>
            </w:r>
          </w:p>
        </w:tc>
        <w:tc>
          <w:tcPr>
            <w:tcW w:w="662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 w14:paraId="52139166">
            <w:pPr>
              <w:pStyle w:val="13"/>
              <w:ind w:firstLine="480" w:firstLineChars="200"/>
              <w:rPr>
                <w:rFonts w:ascii="Times New Roman"/>
                <w:color w:val="auto"/>
                <w:sz w:val="24"/>
              </w:rPr>
            </w:pPr>
            <w:r>
              <w:rPr>
                <w:rFonts w:hint="eastAsia" w:ascii="Times New Roman"/>
                <w:color w:val="auto"/>
                <w:sz w:val="24"/>
              </w:rPr>
              <w:t>近年来新疆财经大学坚持“以本为本”，推进“四个回归”，相继出台专业建设质量标准和行动计划，为</w:t>
            </w:r>
            <w:r>
              <w:rPr>
                <w:rFonts w:hint="eastAsia" w:ascii="Times New Roman"/>
                <w:color w:val="auto"/>
                <w:sz w:val="24"/>
                <w:lang w:eastAsia="zh-CN"/>
              </w:rPr>
              <w:t>国际法</w:t>
            </w:r>
            <w:r>
              <w:rPr>
                <w:rFonts w:hint="eastAsia" w:ascii="Times New Roman"/>
                <w:color w:val="auto"/>
                <w:sz w:val="24"/>
              </w:rPr>
              <w:t>专业建设提供了制度保障和经费保障，并建立本科建设经费预算优先和稳定增长机制，逐年提高本科教学经费预算，保证教学建设经费平均增幅不低于学校财力年均增幅；加大本科教学条件改造及教学奖励力度，保证本科教学信息化正常运行与维护经费的投入。</w:t>
            </w:r>
          </w:p>
          <w:p w14:paraId="047578E1">
            <w:pPr>
              <w:pStyle w:val="13"/>
              <w:ind w:firstLine="480" w:firstLineChars="200"/>
              <w:rPr>
                <w:rFonts w:ascii="Times New Roman"/>
                <w:color w:val="auto"/>
                <w:sz w:val="24"/>
              </w:rPr>
            </w:pPr>
            <w:r>
              <w:rPr>
                <w:rFonts w:hint="eastAsia" w:ascii="Times New Roman"/>
                <w:color w:val="auto"/>
                <w:sz w:val="24"/>
                <w:lang w:eastAsia="zh-CN"/>
              </w:rPr>
              <w:t>国际法</w:t>
            </w:r>
            <w:r>
              <w:rPr>
                <w:rFonts w:hint="eastAsia" w:ascii="Times New Roman"/>
                <w:color w:val="auto"/>
                <w:sz w:val="24"/>
              </w:rPr>
              <w:t>专业年度建设经费将达到220万元，经费来源主要有：（1）校内专业建设费：自治区级一流本科专业建设经费、自治区级一流本科课程建设经费、校级金课建设经费、三全育人课程示范点建设经费、校级培育专业建设经费；（2）产学研联合培养经费：产学研联合培养基地建设经费、实践基地合作经费等。</w:t>
            </w:r>
          </w:p>
          <w:p w14:paraId="2209D380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/>
                <w:color w:val="auto"/>
                <w:sz w:val="24"/>
              </w:rPr>
              <w:t>重点用于以下方面：（</w:t>
            </w:r>
            <w:r>
              <w:rPr>
                <w:rFonts w:hint="eastAsia" w:ascii="Times New Roman"/>
                <w:color w:val="auto"/>
                <w:sz w:val="24"/>
              </w:rPr>
              <w:t>1</w:t>
            </w:r>
            <w:r>
              <w:rPr>
                <w:rFonts w:ascii="Times New Roman"/>
                <w:color w:val="auto"/>
                <w:sz w:val="24"/>
              </w:rPr>
              <w:t>）师资建设，培养优秀教学团队；（</w:t>
            </w:r>
            <w:r>
              <w:rPr>
                <w:rFonts w:hint="eastAsia" w:ascii="Times New Roman"/>
                <w:color w:val="auto"/>
                <w:sz w:val="24"/>
              </w:rPr>
              <w:t>2</w:t>
            </w:r>
            <w:r>
              <w:rPr>
                <w:rFonts w:ascii="Times New Roman"/>
                <w:color w:val="auto"/>
                <w:sz w:val="24"/>
              </w:rPr>
              <w:t>）校内外实践条件建设，建立广泛对外合作渠道；（</w:t>
            </w:r>
            <w:r>
              <w:rPr>
                <w:rFonts w:hint="eastAsia" w:ascii="Times New Roman"/>
                <w:color w:val="auto"/>
                <w:sz w:val="24"/>
              </w:rPr>
              <w:t>3</w:t>
            </w:r>
            <w:r>
              <w:rPr>
                <w:rFonts w:ascii="Times New Roman"/>
                <w:color w:val="auto"/>
                <w:sz w:val="24"/>
              </w:rPr>
              <w:t>）虚拟教研室建设；（</w:t>
            </w:r>
            <w:r>
              <w:rPr>
                <w:rFonts w:hint="eastAsia" w:ascii="Times New Roman"/>
                <w:color w:val="auto"/>
                <w:sz w:val="24"/>
              </w:rPr>
              <w:t>4</w:t>
            </w:r>
            <w:r>
              <w:rPr>
                <w:rFonts w:ascii="Times New Roman"/>
                <w:color w:val="auto"/>
                <w:sz w:val="24"/>
              </w:rPr>
              <w:t>）课程及线上线下资源库建设。</w:t>
            </w:r>
          </w:p>
        </w:tc>
      </w:tr>
      <w:tr w14:paraId="276D32A6">
        <w:trPr>
          <w:trHeight w:val="556" w:hRule="atLeast"/>
        </w:trPr>
        <w:tc>
          <w:tcPr>
            <w:tcW w:w="2945" w:type="dxa"/>
            <w:tcBorders>
              <w:right w:val="single" w:color="000000" w:sz="6" w:space="0"/>
            </w:tcBorders>
            <w:noWrap w:val="0"/>
            <w:vAlign w:val="center"/>
          </w:tcPr>
          <w:p w14:paraId="389273E8">
            <w:pPr>
              <w:pStyle w:val="13"/>
              <w:spacing w:before="122"/>
              <w:ind w:left="107" w:right="-29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pacing w:val="-4"/>
                <w:sz w:val="24"/>
              </w:rPr>
              <w:t>生均年教学日常支出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（元</w:t>
            </w:r>
            <w:r>
              <w:rPr>
                <w:rFonts w:ascii="Times New Roman" w:hAnsi="Times New Roman" w:cs="Times New Roman"/>
                <w:color w:val="auto"/>
                <w:spacing w:val="-14"/>
                <w:sz w:val="24"/>
              </w:rPr>
              <w:t>）</w:t>
            </w:r>
          </w:p>
        </w:tc>
        <w:tc>
          <w:tcPr>
            <w:tcW w:w="662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 w14:paraId="037F66A7">
            <w:pPr>
              <w:pStyle w:val="13"/>
              <w:ind w:firstLine="2880" w:firstLineChars="1200"/>
              <w:jc w:val="both"/>
              <w:rPr>
                <w:rFonts w:ascii="Times New Roman" w:hAnsi="Times New Roman" w:cs="Times New Roman"/>
                <w:color w:val="auto"/>
                <w:sz w:val="24"/>
                <w:lang w:val="en-US"/>
              </w:rPr>
            </w:pPr>
            <w:r>
              <w:rPr>
                <w:rFonts w:hint="eastAsia" w:ascii="Times New Roman"/>
                <w:color w:val="auto"/>
                <w:sz w:val="24"/>
              </w:rPr>
              <w:t>3500元</w:t>
            </w:r>
          </w:p>
        </w:tc>
      </w:tr>
      <w:tr w14:paraId="11F7B0A2">
        <w:trPr>
          <w:trHeight w:val="623" w:hRule="atLeast"/>
        </w:trPr>
        <w:tc>
          <w:tcPr>
            <w:tcW w:w="2945" w:type="dxa"/>
            <w:tcBorders>
              <w:right w:val="single" w:color="000000" w:sz="6" w:space="0"/>
            </w:tcBorders>
            <w:noWrap w:val="0"/>
            <w:vAlign w:val="center"/>
          </w:tcPr>
          <w:p w14:paraId="619F4A0A">
            <w:pPr>
              <w:pStyle w:val="13"/>
              <w:ind w:left="130" w:right="121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实践教学基地（个）</w:t>
            </w:r>
          </w:p>
          <w:p w14:paraId="202BDCEE">
            <w:pPr>
              <w:pStyle w:val="13"/>
              <w:spacing w:before="4" w:line="292" w:lineRule="exact"/>
              <w:ind w:left="130" w:right="120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</w:rPr>
              <w:t>（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请上传合作协议等）</w:t>
            </w:r>
          </w:p>
        </w:tc>
        <w:tc>
          <w:tcPr>
            <w:tcW w:w="662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 w14:paraId="13AAE4D6">
            <w:pPr>
              <w:pStyle w:val="13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/>
                <w:color w:val="auto"/>
                <w:sz w:val="24"/>
                <w:lang w:val="en-US" w:eastAsia="zh-CN"/>
              </w:rPr>
              <w:t>20</w:t>
            </w:r>
            <w:r>
              <w:rPr>
                <w:rFonts w:hint="eastAsia" w:ascii="Times New Roman"/>
                <w:color w:val="auto"/>
                <w:sz w:val="24"/>
              </w:rPr>
              <w:t>个</w:t>
            </w:r>
          </w:p>
        </w:tc>
      </w:tr>
      <w:tr w14:paraId="76C9E485">
        <w:trPr>
          <w:trHeight w:val="625" w:hRule="atLeast"/>
        </w:trPr>
        <w:tc>
          <w:tcPr>
            <w:tcW w:w="2945" w:type="dxa"/>
            <w:tcBorders>
              <w:right w:val="single" w:color="000000" w:sz="6" w:space="0"/>
            </w:tcBorders>
            <w:noWrap w:val="0"/>
            <w:vAlign w:val="center"/>
          </w:tcPr>
          <w:p w14:paraId="69CCFB87">
            <w:pPr>
              <w:pStyle w:val="13"/>
              <w:spacing w:before="2"/>
              <w:ind w:left="130" w:right="121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教学条件建设规划</w:t>
            </w:r>
          </w:p>
          <w:p w14:paraId="1497FE4C">
            <w:pPr>
              <w:pStyle w:val="13"/>
              <w:spacing w:before="4" w:line="292" w:lineRule="exact"/>
              <w:ind w:left="130" w:right="121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及保障措施</w:t>
            </w:r>
          </w:p>
        </w:tc>
        <w:tc>
          <w:tcPr>
            <w:tcW w:w="662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 w14:paraId="3A0B0440">
            <w:pPr>
              <w:pStyle w:val="13"/>
              <w:spacing w:line="360" w:lineRule="atLeast"/>
              <w:ind w:firstLine="480" w:firstLineChars="200"/>
              <w:rPr>
                <w:rFonts w:ascii="Times New Roman"/>
                <w:color w:val="auto"/>
                <w:sz w:val="24"/>
              </w:rPr>
            </w:pPr>
            <w:r>
              <w:rPr>
                <w:rFonts w:hint="eastAsia" w:ascii="Times New Roman"/>
                <w:color w:val="auto"/>
                <w:sz w:val="24"/>
              </w:rPr>
              <w:t>教学条件建设规划：我校于2019年建成覆盖全校教学区和生活区的数字校园系统。学校投入2806万元用于实验室建设，包括实验教学综合管理平台项目、数据挖掘与大数据分析实训平台、VR实验室等。2020年投入950万元建成经济统计与数学建模实训平台、实验室管理与实验教学管理云平台项目，投入150</w:t>
            </w:r>
            <w:r>
              <w:rPr>
                <w:rFonts w:hint="eastAsia" w:ascii="Times New Roman"/>
                <w:color w:val="auto"/>
                <w:sz w:val="24"/>
                <w:lang w:eastAsia="zh-CN"/>
              </w:rPr>
              <w:t>万元</w:t>
            </w:r>
            <w:r>
              <w:rPr>
                <w:rFonts w:hint="eastAsia" w:ascii="Times New Roman"/>
                <w:color w:val="auto"/>
                <w:sz w:val="24"/>
              </w:rPr>
              <w:t>建立公共管理综合实验室。2021年投入2亿元建设综合教科研交流中心。公共管理学院未来将进一步完善公共管理综合实验室，</w:t>
            </w:r>
            <w:r>
              <w:rPr>
                <w:rFonts w:hint="eastAsia" w:ascii="Times New Roman"/>
                <w:color w:val="auto"/>
                <w:sz w:val="24"/>
                <w:szCs w:val="24"/>
              </w:rPr>
              <w:t>计划新增城市应急管理决策模拟实训室、</w:t>
            </w:r>
            <w:r>
              <w:rPr>
                <w:rFonts w:hint="eastAsia"/>
                <w:color w:val="auto"/>
                <w:sz w:val="24"/>
                <w:szCs w:val="24"/>
                <w:shd w:val="clear" w:color="auto" w:fill="FFFFFF"/>
              </w:rPr>
              <w:t>土地规划设计实验室、地理信息系统实验室，</w:t>
            </w:r>
            <w:r>
              <w:rPr>
                <w:rFonts w:hint="eastAsia" w:ascii="Times New Roman"/>
                <w:color w:val="auto"/>
                <w:sz w:val="24"/>
              </w:rPr>
              <w:t>总投资</w:t>
            </w:r>
            <w:r>
              <w:rPr>
                <w:rFonts w:hint="eastAsia" w:ascii="Times New Roman"/>
                <w:color w:val="auto"/>
                <w:sz w:val="24"/>
                <w:lang w:eastAsia="zh-CN"/>
              </w:rPr>
              <w:t>300万-500万</w:t>
            </w:r>
            <w:r>
              <w:rPr>
                <w:rFonts w:hint="eastAsia" w:ascii="Times New Roman"/>
                <w:color w:val="auto"/>
                <w:sz w:val="24"/>
              </w:rPr>
              <w:t>元，保障本专业教学与实训需要。</w:t>
            </w:r>
            <w:r>
              <w:rPr>
                <w:rFonts w:hint="eastAsia"/>
                <w:color w:val="auto"/>
                <w:sz w:val="24"/>
                <w:szCs w:val="24"/>
                <w:shd w:val="clear" w:color="auto" w:fill="FFFFFF"/>
              </w:rPr>
              <w:t>成立</w:t>
            </w:r>
            <w:r>
              <w:rPr>
                <w:rFonts w:hint="eastAsia" w:ascii="Times New Roman"/>
                <w:color w:val="auto"/>
                <w:sz w:val="24"/>
              </w:rPr>
              <w:t>新疆区块链政务服务研究中心，与乌鲁木齐市城乡规划管理局、路桥集团等单位加深合作，新增10个实习基地。</w:t>
            </w:r>
          </w:p>
          <w:p w14:paraId="5EF6E109">
            <w:pPr>
              <w:pStyle w:val="13"/>
              <w:spacing w:line="360" w:lineRule="atLeast"/>
              <w:ind w:firstLine="480" w:firstLineChars="200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/>
                <w:color w:val="auto"/>
                <w:sz w:val="24"/>
              </w:rPr>
              <w:t>保障措施：2020年以来学校建成20间智慧教室、国学教室和马列主义教学</w:t>
            </w:r>
            <w:r>
              <w:rPr>
                <w:rFonts w:hint="eastAsia" w:ascii="Times New Roman"/>
                <w:color w:val="auto"/>
                <w:sz w:val="24"/>
                <w:lang w:eastAsia="zh-CN"/>
              </w:rPr>
              <w:t>体验室</w:t>
            </w:r>
            <w:r>
              <w:rPr>
                <w:rFonts w:hint="eastAsia" w:ascii="Times New Roman"/>
                <w:color w:val="auto"/>
                <w:sz w:val="24"/>
              </w:rPr>
              <w:t>，极大改善教学条件；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/>
              </w:rPr>
              <w:t>学校</w:t>
            </w: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图书馆提供了充足的教学资源，馆藏文献总量已达到136余万册，其中纸质图书98万余册，电子图书38万余册。年文献购置费为250万元。目前已购入国内外数据库（含镜像）10个，自建特色数据库7个。学校重视与国内已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国际法</w:t>
            </w: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专业的高校建立合作关系，如：中国人民大学、中央财经大学、中南财经政法大学、贵州财经大学，在新文科和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eastAsia="zh-CN"/>
              </w:rPr>
              <w:t>国际法</w:t>
            </w: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领域开展交流合作。</w:t>
            </w:r>
          </w:p>
        </w:tc>
      </w:tr>
    </w:tbl>
    <w:p w14:paraId="43708E83">
      <w:pPr>
        <w:spacing w:before="58"/>
        <w:ind w:left="915" w:right="1167"/>
        <w:jc w:val="center"/>
        <w:rPr>
          <w:rFonts w:ascii="Times New Roman" w:hAnsi="Times New Roman" w:cs="Times New Roman"/>
          <w:b/>
          <w:bCs/>
          <w:color w:val="auto"/>
          <w:sz w:val="30"/>
        </w:rPr>
      </w:pPr>
      <w:r>
        <w:rPr>
          <w:rFonts w:ascii="Times New Roman" w:hAnsi="Times New Roman" w:cs="Times New Roman"/>
          <w:b/>
          <w:bCs/>
          <w:color w:val="auto"/>
          <w:sz w:val="30"/>
        </w:rPr>
        <w:t>主要教学实验设备情况表</w:t>
      </w:r>
    </w:p>
    <w:p w14:paraId="7AA26F62">
      <w:pPr>
        <w:rPr>
          <w:rFonts w:ascii="Times New Roman" w:hAnsi="Times New Roman" w:cs="Times New Roman"/>
          <w:color w:val="auto"/>
          <w:sz w:val="24"/>
        </w:rPr>
      </w:pPr>
    </w:p>
    <w:tbl>
      <w:tblPr>
        <w:tblStyle w:val="11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1"/>
        <w:gridCol w:w="2566"/>
        <w:gridCol w:w="959"/>
        <w:gridCol w:w="1560"/>
        <w:gridCol w:w="2068"/>
      </w:tblGrid>
      <w:tr w14:paraId="71A0DDBA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197B6FDC">
            <w:pPr>
              <w:pStyle w:val="13"/>
              <w:spacing w:before="7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教学实验设备名称</w:t>
            </w:r>
          </w:p>
        </w:tc>
        <w:tc>
          <w:tcPr>
            <w:tcW w:w="2566" w:type="dxa"/>
            <w:noWrap w:val="0"/>
            <w:vAlign w:val="center"/>
          </w:tcPr>
          <w:p w14:paraId="72169517">
            <w:pPr>
              <w:pStyle w:val="13"/>
              <w:spacing w:before="7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型号规格</w:t>
            </w:r>
          </w:p>
        </w:tc>
        <w:tc>
          <w:tcPr>
            <w:tcW w:w="959" w:type="dxa"/>
            <w:noWrap w:val="0"/>
            <w:vAlign w:val="center"/>
          </w:tcPr>
          <w:p w14:paraId="66D95ACA">
            <w:pPr>
              <w:pStyle w:val="13"/>
              <w:spacing w:before="7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1560" w:type="dxa"/>
            <w:noWrap w:val="0"/>
            <w:vAlign w:val="center"/>
          </w:tcPr>
          <w:p w14:paraId="11621BEC">
            <w:pPr>
              <w:pStyle w:val="13"/>
              <w:spacing w:before="7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购入时间</w:t>
            </w:r>
          </w:p>
        </w:tc>
        <w:tc>
          <w:tcPr>
            <w:tcW w:w="2068" w:type="dxa"/>
            <w:noWrap w:val="0"/>
            <w:vAlign w:val="center"/>
          </w:tcPr>
          <w:p w14:paraId="60EF2004">
            <w:pPr>
              <w:pStyle w:val="13"/>
              <w:spacing w:before="7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17"/>
                <w:sz w:val="24"/>
                <w:szCs w:val="24"/>
              </w:rPr>
              <w:t>设备价值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（千元）</w:t>
            </w:r>
          </w:p>
        </w:tc>
      </w:tr>
      <w:tr w14:paraId="3B235891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7B0BC10D">
            <w:pPr>
              <w:ind w:left="167" w:leftChars="7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模拟法庭</w:t>
            </w:r>
          </w:p>
        </w:tc>
        <w:tc>
          <w:tcPr>
            <w:tcW w:w="2566" w:type="dxa"/>
            <w:noWrap w:val="0"/>
            <w:vAlign w:val="center"/>
          </w:tcPr>
          <w:p w14:paraId="61DDB69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间</w:t>
            </w:r>
          </w:p>
        </w:tc>
        <w:tc>
          <w:tcPr>
            <w:tcW w:w="959" w:type="dxa"/>
            <w:noWrap w:val="0"/>
            <w:vAlign w:val="center"/>
          </w:tcPr>
          <w:p w14:paraId="54D9E7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FA38A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年</w:t>
            </w:r>
          </w:p>
        </w:tc>
        <w:tc>
          <w:tcPr>
            <w:tcW w:w="2068" w:type="dxa"/>
            <w:noWrap w:val="0"/>
            <w:vAlign w:val="center"/>
          </w:tcPr>
          <w:p w14:paraId="433017CB">
            <w:pPr>
              <w:pStyle w:val="13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500.35</w:t>
            </w:r>
          </w:p>
        </w:tc>
      </w:tr>
      <w:tr w14:paraId="10990797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611B2FE7">
            <w:pPr>
              <w:ind w:left="167" w:leftChars="76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法学院模拟仿真实验室</w:t>
            </w:r>
          </w:p>
        </w:tc>
        <w:tc>
          <w:tcPr>
            <w:tcW w:w="2566" w:type="dxa"/>
            <w:noWrap w:val="0"/>
            <w:vAlign w:val="center"/>
          </w:tcPr>
          <w:p w14:paraId="2C91675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间</w:t>
            </w:r>
          </w:p>
        </w:tc>
        <w:tc>
          <w:tcPr>
            <w:tcW w:w="959" w:type="dxa"/>
            <w:noWrap w:val="0"/>
            <w:vAlign w:val="center"/>
          </w:tcPr>
          <w:p w14:paraId="0F3CB60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5BDFFF2E">
            <w:pPr>
              <w:ind w:left="167" w:leftChars="7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2022年</w:t>
            </w:r>
          </w:p>
        </w:tc>
        <w:tc>
          <w:tcPr>
            <w:tcW w:w="2068" w:type="dxa"/>
            <w:noWrap w:val="0"/>
            <w:vAlign w:val="center"/>
          </w:tcPr>
          <w:p w14:paraId="0DAE0735">
            <w:pPr>
              <w:ind w:left="167" w:leftChars="76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1003.25</w:t>
            </w:r>
          </w:p>
        </w:tc>
      </w:tr>
      <w:tr w14:paraId="44BD7E88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49DB948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交互式电子白板</w:t>
            </w:r>
          </w:p>
        </w:tc>
        <w:tc>
          <w:tcPr>
            <w:tcW w:w="2566" w:type="dxa"/>
            <w:noWrap w:val="0"/>
            <w:vAlign w:val="center"/>
          </w:tcPr>
          <w:p w14:paraId="583ACAB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959" w:type="dxa"/>
            <w:noWrap w:val="0"/>
            <w:vAlign w:val="center"/>
          </w:tcPr>
          <w:p w14:paraId="19C71E5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20073B5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2018.12</w:t>
            </w:r>
          </w:p>
        </w:tc>
        <w:tc>
          <w:tcPr>
            <w:tcW w:w="2068" w:type="dxa"/>
            <w:noWrap w:val="0"/>
            <w:vAlign w:val="center"/>
          </w:tcPr>
          <w:p w14:paraId="24DD590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</w:tr>
      <w:tr w14:paraId="44397586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153679D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多媒体讲台及扩音设备</w:t>
            </w:r>
          </w:p>
        </w:tc>
        <w:tc>
          <w:tcPr>
            <w:tcW w:w="2566" w:type="dxa"/>
            <w:noWrap w:val="0"/>
            <w:vAlign w:val="center"/>
          </w:tcPr>
          <w:p w14:paraId="5FAD76E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959" w:type="dxa"/>
            <w:noWrap w:val="0"/>
            <w:vAlign w:val="center"/>
          </w:tcPr>
          <w:p w14:paraId="4412753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7FC6439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2018.12</w:t>
            </w:r>
          </w:p>
        </w:tc>
        <w:tc>
          <w:tcPr>
            <w:tcW w:w="2068" w:type="dxa"/>
            <w:noWrap w:val="0"/>
            <w:vAlign w:val="center"/>
          </w:tcPr>
          <w:p w14:paraId="5D70C73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25</w:t>
            </w:r>
          </w:p>
        </w:tc>
      </w:tr>
      <w:tr w14:paraId="31C88B0B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5EC2062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微型计算机</w:t>
            </w:r>
          </w:p>
        </w:tc>
        <w:tc>
          <w:tcPr>
            <w:tcW w:w="2566" w:type="dxa"/>
            <w:noWrap w:val="0"/>
            <w:vAlign w:val="center"/>
          </w:tcPr>
          <w:p w14:paraId="26FBE99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</w:t>
            </w:r>
          </w:p>
        </w:tc>
        <w:tc>
          <w:tcPr>
            <w:tcW w:w="959" w:type="dxa"/>
            <w:noWrap w:val="0"/>
            <w:vAlign w:val="center"/>
          </w:tcPr>
          <w:p w14:paraId="2BF68DF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70</w:t>
            </w:r>
          </w:p>
        </w:tc>
        <w:tc>
          <w:tcPr>
            <w:tcW w:w="1560" w:type="dxa"/>
            <w:noWrap w:val="0"/>
            <w:vAlign w:val="center"/>
          </w:tcPr>
          <w:p w14:paraId="4C6EA1B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2019.12</w:t>
            </w:r>
          </w:p>
        </w:tc>
        <w:tc>
          <w:tcPr>
            <w:tcW w:w="2068" w:type="dxa"/>
            <w:noWrap w:val="0"/>
            <w:vAlign w:val="center"/>
          </w:tcPr>
          <w:p w14:paraId="1F2D1B5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5.6</w:t>
            </w:r>
          </w:p>
        </w:tc>
      </w:tr>
      <w:tr w14:paraId="2F81EAF3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20BCCFE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教师多媒体集体备课室</w:t>
            </w:r>
          </w:p>
        </w:tc>
        <w:tc>
          <w:tcPr>
            <w:tcW w:w="2566" w:type="dxa"/>
            <w:noWrap w:val="0"/>
            <w:vAlign w:val="center"/>
          </w:tcPr>
          <w:p w14:paraId="1731704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间</w:t>
            </w:r>
          </w:p>
        </w:tc>
        <w:tc>
          <w:tcPr>
            <w:tcW w:w="959" w:type="dxa"/>
            <w:noWrap w:val="0"/>
            <w:vAlign w:val="center"/>
          </w:tcPr>
          <w:p w14:paraId="38EE761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744D672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2020.8</w:t>
            </w:r>
          </w:p>
        </w:tc>
        <w:tc>
          <w:tcPr>
            <w:tcW w:w="2068" w:type="dxa"/>
            <w:noWrap w:val="0"/>
            <w:vAlign w:val="center"/>
          </w:tcPr>
          <w:p w14:paraId="1505315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150</w:t>
            </w:r>
          </w:p>
        </w:tc>
      </w:tr>
      <w:tr w14:paraId="640BE311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787A428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多功能统计与数据分析实验室</w:t>
            </w:r>
          </w:p>
        </w:tc>
        <w:tc>
          <w:tcPr>
            <w:tcW w:w="2566" w:type="dxa"/>
            <w:noWrap w:val="0"/>
            <w:vAlign w:val="center"/>
          </w:tcPr>
          <w:p w14:paraId="3C5513D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间</w:t>
            </w:r>
          </w:p>
        </w:tc>
        <w:tc>
          <w:tcPr>
            <w:tcW w:w="959" w:type="dxa"/>
            <w:noWrap w:val="0"/>
            <w:vAlign w:val="center"/>
          </w:tcPr>
          <w:p w14:paraId="5110590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4BE5916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2020.5</w:t>
            </w:r>
          </w:p>
        </w:tc>
        <w:tc>
          <w:tcPr>
            <w:tcW w:w="2068" w:type="dxa"/>
            <w:noWrap w:val="0"/>
            <w:vAlign w:val="center"/>
          </w:tcPr>
          <w:p w14:paraId="1904793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1200</w:t>
            </w:r>
          </w:p>
        </w:tc>
      </w:tr>
      <w:tr w14:paraId="774A2CBA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4A88AE6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智慧教室</w:t>
            </w:r>
          </w:p>
        </w:tc>
        <w:tc>
          <w:tcPr>
            <w:tcW w:w="2566" w:type="dxa"/>
            <w:noWrap w:val="0"/>
            <w:vAlign w:val="center"/>
          </w:tcPr>
          <w:p w14:paraId="7A0043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间</w:t>
            </w:r>
          </w:p>
        </w:tc>
        <w:tc>
          <w:tcPr>
            <w:tcW w:w="959" w:type="dxa"/>
            <w:noWrap w:val="0"/>
            <w:vAlign w:val="center"/>
          </w:tcPr>
          <w:p w14:paraId="57CA84A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4F11544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2019.7</w:t>
            </w:r>
          </w:p>
        </w:tc>
        <w:tc>
          <w:tcPr>
            <w:tcW w:w="2068" w:type="dxa"/>
            <w:noWrap w:val="0"/>
            <w:vAlign w:val="center"/>
          </w:tcPr>
          <w:p w14:paraId="3CF5527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400</w:t>
            </w:r>
          </w:p>
        </w:tc>
      </w:tr>
      <w:tr w14:paraId="5AAD2E2F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4228EF6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教学研讨室</w:t>
            </w:r>
          </w:p>
        </w:tc>
        <w:tc>
          <w:tcPr>
            <w:tcW w:w="2566" w:type="dxa"/>
            <w:noWrap w:val="0"/>
            <w:vAlign w:val="center"/>
          </w:tcPr>
          <w:p w14:paraId="3547CC1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间</w:t>
            </w:r>
          </w:p>
        </w:tc>
        <w:tc>
          <w:tcPr>
            <w:tcW w:w="959" w:type="dxa"/>
            <w:noWrap w:val="0"/>
            <w:vAlign w:val="center"/>
          </w:tcPr>
          <w:p w14:paraId="477321D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noWrap w:val="0"/>
            <w:vAlign w:val="center"/>
          </w:tcPr>
          <w:p w14:paraId="42914A2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2019.10</w:t>
            </w:r>
          </w:p>
        </w:tc>
        <w:tc>
          <w:tcPr>
            <w:tcW w:w="2068" w:type="dxa"/>
            <w:noWrap w:val="0"/>
            <w:vAlign w:val="center"/>
          </w:tcPr>
          <w:p w14:paraId="4826601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200</w:t>
            </w:r>
          </w:p>
        </w:tc>
      </w:tr>
      <w:tr w14:paraId="76F57778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616C403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触摸大屏电视一体机</w:t>
            </w:r>
          </w:p>
        </w:tc>
        <w:tc>
          <w:tcPr>
            <w:tcW w:w="2566" w:type="dxa"/>
            <w:noWrap w:val="0"/>
            <w:vAlign w:val="center"/>
          </w:tcPr>
          <w:p w14:paraId="41D7FF1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台</w:t>
            </w:r>
          </w:p>
        </w:tc>
        <w:tc>
          <w:tcPr>
            <w:tcW w:w="959" w:type="dxa"/>
            <w:noWrap w:val="0"/>
            <w:vAlign w:val="center"/>
          </w:tcPr>
          <w:p w14:paraId="407E9A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560" w:type="dxa"/>
            <w:noWrap w:val="0"/>
            <w:vAlign w:val="center"/>
          </w:tcPr>
          <w:p w14:paraId="0329A80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2020.9</w:t>
            </w:r>
          </w:p>
        </w:tc>
        <w:tc>
          <w:tcPr>
            <w:tcW w:w="2068" w:type="dxa"/>
            <w:noWrap w:val="0"/>
            <w:vAlign w:val="center"/>
          </w:tcPr>
          <w:p w14:paraId="4B94555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120</w:t>
            </w:r>
          </w:p>
        </w:tc>
      </w:tr>
      <w:tr w14:paraId="1532E7F5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44756C6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图书资料室</w:t>
            </w:r>
          </w:p>
        </w:tc>
        <w:tc>
          <w:tcPr>
            <w:tcW w:w="2566" w:type="dxa"/>
            <w:noWrap w:val="0"/>
            <w:vAlign w:val="center"/>
          </w:tcPr>
          <w:p w14:paraId="059ED83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间</w:t>
            </w:r>
          </w:p>
        </w:tc>
        <w:tc>
          <w:tcPr>
            <w:tcW w:w="959" w:type="dxa"/>
            <w:noWrap w:val="0"/>
            <w:vAlign w:val="center"/>
          </w:tcPr>
          <w:p w14:paraId="0DC3348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2E3AE40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2019.4</w:t>
            </w:r>
          </w:p>
        </w:tc>
        <w:tc>
          <w:tcPr>
            <w:tcW w:w="2068" w:type="dxa"/>
            <w:noWrap w:val="0"/>
            <w:vAlign w:val="center"/>
          </w:tcPr>
          <w:p w14:paraId="29C1969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200</w:t>
            </w:r>
          </w:p>
        </w:tc>
      </w:tr>
      <w:tr w14:paraId="5E178C81">
        <w:trPr>
          <w:trHeight w:val="622" w:hRule="atLeast"/>
        </w:trPr>
        <w:tc>
          <w:tcPr>
            <w:tcW w:w="2421" w:type="dxa"/>
            <w:noWrap w:val="0"/>
            <w:vAlign w:val="center"/>
          </w:tcPr>
          <w:p w14:paraId="5369BDE6">
            <w:pPr>
              <w:ind w:left="167" w:leftChars="7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566" w:type="dxa"/>
            <w:noWrap w:val="0"/>
            <w:vAlign w:val="center"/>
          </w:tcPr>
          <w:p w14:paraId="6A0B12F0">
            <w:pPr>
              <w:ind w:left="167" w:leftChars="7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59" w:type="dxa"/>
            <w:noWrap w:val="0"/>
            <w:vAlign w:val="center"/>
          </w:tcPr>
          <w:p w14:paraId="2E4A1700">
            <w:pPr>
              <w:ind w:left="167" w:leftChars="7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3CC7E0D">
            <w:pPr>
              <w:ind w:left="167" w:leftChars="76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0C8B672D">
            <w:pPr>
              <w:ind w:left="167" w:leftChars="76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/>
              </w:rPr>
              <w:t>3810.2</w:t>
            </w:r>
          </w:p>
        </w:tc>
      </w:tr>
    </w:tbl>
    <w:p w14:paraId="1B6E4BC8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14:paraId="69FAE003"/>
    <w:p w14:paraId="78B2B4C6">
      <w:pPr>
        <w:pStyle w:val="2"/>
        <w:ind w:left="0" w:leftChars="0" w:firstLine="720" w:firstLineChars="200"/>
        <w:jc w:val="both"/>
        <w:rPr>
          <w:rFonts w:hint="eastAsia" w:ascii="Times New Roman" w:hAnsi="Times New Roman" w:eastAsia="黑体" w:cs="Times New Roman"/>
          <w:color w:val="auto"/>
          <w:lang w:eastAsia="zh-CN"/>
        </w:rPr>
      </w:pPr>
      <w:r>
        <w:rPr>
          <w:rFonts w:ascii="Times New Roman" w:hAnsi="Times New Roman" w:cs="Times New Roman"/>
          <w:color w:val="auto"/>
        </w:rPr>
        <w:t>7.申请增设专业的理由和基础</w:t>
      </w:r>
      <w:r>
        <w:rPr>
          <w:rFonts w:hint="eastAsia" w:ascii="Times New Roman" w:hAnsi="Times New Roman" w:cs="Times New Roman"/>
          <w:color w:val="auto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提交证明材料用</w:t>
      </w:r>
      <w:r>
        <w:rPr>
          <w:rFonts w:hint="eastAsia" w:ascii="Times New Roman" w:hAnsi="Times New Roman" w:cs="Times New Roman"/>
          <w:color w:val="auto"/>
          <w:lang w:eastAsia="zh-CN"/>
        </w:rPr>
        <w:t>）</w:t>
      </w:r>
    </w:p>
    <w:tbl>
      <w:tblPr>
        <w:tblStyle w:val="11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8"/>
      </w:tblGrid>
      <w:tr w14:paraId="42733761">
        <w:trPr>
          <w:trHeight w:val="5306" w:hRule="atLeast"/>
        </w:trPr>
        <w:tc>
          <w:tcPr>
            <w:tcW w:w="9558" w:type="dxa"/>
            <w:noWrap w:val="0"/>
            <w:vAlign w:val="top"/>
          </w:tcPr>
          <w:p w14:paraId="386347A4">
            <w:pPr>
              <w:pStyle w:val="2"/>
              <w:spacing w:line="360" w:lineRule="auto"/>
              <w:ind w:left="0" w:firstLine="0"/>
              <w:jc w:val="left"/>
              <w:rPr>
                <w:color w:val="auto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（</w:t>
            </w:r>
            <w:r>
              <w:rPr>
                <w:rFonts w:ascii="Times New Roman" w:hAnsi="Times New Roman" w:eastAsia="宋体" w:cs="Times New Roman"/>
                <w:color w:val="auto"/>
                <w:spacing w:val="-1"/>
                <w:sz w:val="24"/>
              </w:rPr>
              <w:t>应包括申请增设专业的主要理由、支撑该专业发展的学科基础、学校专业发展规划等方</w:t>
            </w: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面的内容</w:t>
            </w:r>
            <w:r>
              <w:rPr>
                <w:rFonts w:ascii="Times New Roman" w:hAnsi="Times New Roman" w:eastAsia="宋体" w:cs="Times New Roman"/>
                <w:color w:val="auto"/>
                <w:spacing w:val="-120"/>
                <w:sz w:val="24"/>
              </w:rPr>
              <w:t>）</w:t>
            </w: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（如需要可加页）</w:t>
            </w:r>
          </w:p>
          <w:p w14:paraId="7D8304CF"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一、践行习近平法治思想，筑牢国家涉外法治人才培养根基​</w:t>
            </w:r>
          </w:p>
          <w:p w14:paraId="0A16BEC8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习近平法治思想作为新时代全面依法治国的根本遵循，明确将“坚持统筹推进国内法治和涉外法治”纳入法治中国建设的重要维度。在百年变局加速演进的背景下，国际经贸领域的规则博弈日趋激烈，单边主义、保护主义对全球经济治理体系构成严峻挑战。习近平总书记在中共中央政治局第十次集体学习时强调，“要加强涉外法治建设，统筹推进国内法治和涉外法治，加快形成系统完备的涉外法律法规体系，提升涉外执法司法效能”，这一重要论述为高校培养涉外法治人才指明了方向。​</w:t>
            </w:r>
          </w:p>
          <w:p w14:paraId="375FC2DA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新疆作为丝绸之路经济带核心区，在国家向西开放战略中具有不可替代的枢纽地位。当前新疆涉外法治人才供给呈现结构性短缺，全疆仅新疆政法学院开设国际法专业，远不能满足中国（新疆）自由贸易试验区建设等重大战略实施需求。新疆财经大学增设国际经贸规则专业，正是立足“两个大局”，将习近平法治思想转化为人才培养实践的具体举措，通过构建“法律+经贸+区域研究”的复合型培养体系，为国家储备既懂国际规则又通区域国情的专业人才，助力提升我国在中亚经贸圈的法治话语权。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​</w:t>
            </w:r>
          </w:p>
          <w:p w14:paraId="09CE5E83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二、服务新时代治疆方略，赋能新疆高质量发展与长治久安​</w:t>
            </w:r>
          </w:p>
          <w:p w14:paraId="4AB7CADB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新时代党的治疆方略明确提出“依法治疆、团结稳疆、文化润疆、富民兴疆、长期建疆”二十字方针，其中依法治疆是根本保障，新疆五大战略定位的实现，亟需法治软实力的强力支撑。​</w:t>
            </w:r>
          </w:p>
          <w:p w14:paraId="6A0C4E44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在维护社会稳定方面，国际经贸规则人才可依托专业优势，参与跨境纠纷多元化解机制建设，在处理中哈边境贸易摩擦、涉外投资争议等事务中发挥专业效能，将法治思维贯穿于涉外治理全过程，筑牢边疆和谐稳定的法治防线。​</w:t>
            </w:r>
          </w:p>
          <w:p w14:paraId="2385D83E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在推动向西开放维度，随着中国——中亚峰会成果落地，新疆与周边国家的能源合作、农产品贸易、园区共建进入加速期。该专业将聚焦区域特色，培养熟悉俄语、哈萨克语等语言，通晓中亚国家投资法、关税法的人才，为跨境能源管道建设、霍尔果斯经济开发区运营等提供合规审查、风险防控等法律服务，直接服务“富民兴疆”战略。​</w:t>
            </w:r>
          </w:p>
          <w:p w14:paraId="134250DD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在促进民族团结层面，专业教育将融入“中华民族共同体意识”培育，引导学生以法治视角理解多民族聚居区的涉外治理特点，在参与跨境文化经贸交流中传播法治理念，助力构建各民族共居共乐的和谐社会。​</w:t>
            </w:r>
          </w:p>
          <w:p w14:paraId="362A1636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三、构建区域特色学科体系，完善我国涉外法治教育布局​</w:t>
            </w:r>
          </w:p>
          <w:p w14:paraId="642CF4BB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从学科建设维度看，国际经贸规则专业的设立具有鲜明的填补空白价值。当前我国涉外法学教育存在“重欧美轻中亚”的倾向，针对上海合作组织框架下经贸规则、中亚国家民商法的系统研究较为薄弱。新疆财经大学可依托区位优势，联合中国——中亚研究院等智库，建立涵盖中亚五国法律数据库的特色教学资源库，形成区别于内地高校的差异化办学优势。​</w:t>
            </w:r>
          </w:p>
          <w:p w14:paraId="7181552F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从学术研究层面，该专业将聚焦“中国——中亚经贸法治协同”等前沿课题，既为国家涉外立法提供理论支撑，也为新疆高校法学学科建设开辟新的生长点。​</w:t>
            </w:r>
          </w:p>
          <w:p w14:paraId="75D3D4BB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综上，增设国际经贸规则专业既是落实党中央决策部署的政治责任，也是新疆财经大学服务国家战略、彰显办学特色的必然选择，对于完善我国涉外法治人才培养体系、增强新疆治理体系和治理能力现代化具有深远意义。</w:t>
            </w:r>
          </w:p>
          <w:p w14:paraId="2169F52C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二、支撑该专业发展的学科基础​</w:t>
            </w:r>
          </w:p>
          <w:p w14:paraId="6EF64891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（一）29年法学专业发展的深厚积淀​</w:t>
            </w:r>
          </w:p>
          <w:p w14:paraId="4A5F7F54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作为国家级一流本科专业建设点，新疆财经大学法学专业自1996年设立以来，历经29年系统建设，依托学校应用经济学一级学科博士点的交叉优势，构建起支撑国际经贸规则专业发展的坚实基础，为培养服务国家战略的高素质涉外法治人才提供了全方位保障。​</w:t>
            </w:r>
          </w:p>
          <w:p w14:paraId="64EF1B9A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29年法学专业人才培养实践的体系化成果​</w:t>
            </w:r>
          </w:p>
          <w:p w14:paraId="4F940C4E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在29年的办学实践中，学校始终立足国家向西开放战略需求，以培养复合型法治人才为目标，形成了“理论筑基、实践赋能、区域特色”的成熟培养体系，为国际经贸规则专业建设奠定四方面核心支撑：​</w:t>
            </w:r>
          </w:p>
          <w:p w14:paraId="55988AEB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（1）跨学科融合的课程体系优势。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依托应用经济学一级学科博士点的学科交叉平台，构建了涵盖法学基础理论（法理学、法律史）、核心部门法（民法、刑法、行政法）及特色交叉课程（《经济法》《财税法》）的完整课程体系。其中，《国际法》《国际私法》与现有公法课程形成法理呼应，《国际经济法》与经济法、商法课程构建“国内——国际”规则对照教学体系，《法律职业伦理》延伸至涉外法治价值观培育，实现与国际经贸规则专业课程的无缝衔接，彰显“法律+经贸”的复合型培养特色。​</w:t>
            </w:r>
          </w:p>
          <w:p w14:paraId="593508E3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（2）服务国家战略的实践平台支撑。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立足新疆“丝绸之路经济带核心区”战略定位，打造了校地协同与学科交叉双轮驱动的实践平台。与霍尔果斯自贸区法庭共建的实习基地，累计接收200余名学生参与涉外民商事案件调处；依托应用经济学博士点研究力量开展的“中亚投资法律风险评估”项目（2021年起），将法律条款审查嵌入涉外经贸合同实践，成果获自治区发改委采纳，形成“教学-科研-服务”三位一体的实践育人模式，凸显服务国家向西开放战略的能力。​</w:t>
            </w:r>
          </w:p>
          <w:p w14:paraId="1968AC05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（3）成熟高效的培养机制保障。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基于“专业基础+实践创新”培养模型，形成了可复制的质量保障体系。通过《本科教学案例库建设办法》开发的“中哈国际铁路联运纠纷案”等案例入选自治区案例库，连续8届举办的“模拟WTO争端解决”竞赛与西南政法大学等高校形成跨校联动，构建了“理论教学-案例研讨-实战演练”的全链条培养机制，为涉外法治人才提供了与国际接轨的实战化训练平台。​</w:t>
            </w:r>
          </w:p>
          <w:p w14:paraId="765A0BBE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涉外法治人才培养的前瞻性探索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  <w:t>​</w:t>
            </w:r>
          </w:p>
          <w:p w14:paraId="2AB9385E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近三年，学校深入贯彻习近平总书记“加大涉外法学教育力度，培养涉外法治人才”的重要指示，落实《关于加强新时代法学教育和法学理论研究的意见》要求，依托应用经济学一级学科博士点的学科优势，构建了多层次涉外法治人才培养体系，为国际经贸规则专业建设提供了可推广的实践经验：​</w:t>
            </w:r>
          </w:p>
          <w:p w14:paraId="1C5A9608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（1）“本硕贯通、多学科融合”的培养体系创新。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2022年设立“国际经贸规则人才创新班”，融合国际贸易、金融等财经类优势专业，形成“法律+经贸+外语”的复合型培养方案，已招收两届60名本科生；研究生阶段设置“涉外法务”方向，聚焦中国企业向西开放需求，培养高端实务人才，目前已招收11名研究生；面向全校开设“亚欧国家经贸政策与法规”微专业，依托应用经济学博士点的区域经济研究优势，培养兼具国际视野与区域特色的复合型人才，首届招收35名学生，构建了覆盖本科至研究生阶段的全链条培养体系。​</w:t>
            </w:r>
          </w:p>
          <w:p w14:paraId="0D176C41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（2）“以赛促教、以练促学”的实践教学突破。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以“模拟法庭+涉外竞赛”为抓手，2024年获全国“领军杯”模拟法庭大赛亚军及自治区赛事双奖项，形成“以赛促教、以赛育人”的特色路径，提升学生对国际经贸规则的实战运用能力，为涉外法治人才培养提供了实战化训练平台。​</w:t>
            </w:r>
          </w:p>
          <w:p w14:paraId="61BCE896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（3）“校地协同、内外联动”的育人机制保障。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与自治区高级人民法院、北京大成（乌鲁木齐）律师事务所等30余家单位共建实习基地，100余名实务专家参与教学，构建了“法学理论+财经实践+涉外实务”的全链条培养体系。依托应用经济学一级学科博士点的智库优势，将“中亚投资法律风险评估” 等研究项目与教学实践相结合，推动科研成果向教学资源转化，实现人才培养与国家战略需求的精准对接。​</w:t>
            </w:r>
          </w:p>
          <w:p w14:paraId="0918715A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</w:rPr>
              <w:t>对接国家战略的涉外法治培养格局​</w:t>
            </w:r>
          </w:p>
          <w:p w14:paraId="71181104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立足国家“统筹推进国内法治和涉外法治”的战略部署，学校以法学与应用经济学的学科交叉为支点，构建起服务“丝绸之路经济带核心区”建设的涉外法治人才培养高地。</w:t>
            </w:r>
          </w:p>
          <w:p w14:paraId="6A686761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在战略定位上，锚定“保障高水平对外开放”的国家需求，将国际经贸规则人才培养纳入国家向西开放人才支撑体系，通过整合法学专业29年的办学积累与应用经济学博士点的研究资源，在培养内涵上，突破传统法学人才培养的单一模式，构建“国际规则驾驭能力+区域法律适配能力+跨境经贸实操能力”的三维素养体系，依托应用经济学博士点的研究成果，系统植入中亚国家法律环境、区域贸易协定等特色内容，实现人才培养与区域战略的深度绑定。​</w:t>
            </w:r>
          </w:p>
          <w:p w14:paraId="48E079F3"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（二）师资配备​</w:t>
            </w:r>
          </w:p>
          <w:p w14:paraId="1A688ECD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围绕国际经贸规则人才所需的国内法适用、国际规则驾驭、区域经贸服务三大核心能力，构建层次清晰、功能互补的师资体系，形成“基础夯实—能力拓展—特色聚焦”的教学支撑脉络。​</w:t>
            </w:r>
          </w:p>
          <w:p w14:paraId="72E6ECA5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1.国内法教学团队以部门法体系为框架，筑牢专业知识根基。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团队按“体系化教学+涉外延伸”思路开展教学，沈子华教授带领的公法教学组，将宪法学理论与国际人权法规范进行比较，其国家社科基金成果融入“国内宪政框架下国际义务履行”教学模块；左晶副教授结合司法案例研究，为跨境执法协调提供分析工具。商法学与社会法学团队注重实证研究与教学结合，丁洁副教授的虚拟教研室开发国际商法案例教学系统；阿梅娜・阿布力米提副教授通过“退休再就业法治保障”实证研究，提炼跨境劳务关系法律调整的本土化框架，实现国内法教学向涉外领域的延伸。​</w:t>
            </w:r>
          </w:p>
          <w:p w14:paraId="316594D4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2.涉外法与交叉学科教学团队以跨学科融合为纽带，强化国际视野与区域特色。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由法学院国际法教研室教师承担主要授课任务，为国际经贸规则课程开设提供了最为坚实的师资基础。法学院自2016年起设立国际法教研室，目前在编在岗7人，其中具有法学博士学位的4人，有海外留学经历的3人，有兼职经历的6人。7位专职教师均具有较为丰富的教学和科研经历：获批国家社科项目2项、省部级项目5项、厅局级项目6项、校级项目5项、委托项目2项，发表高水平论文4篇，专著1部，获副国级领导人肯定性批示要报3篇、省级部门采纳资政报告3篇，获得省级教学创新大赛特等奖、一等奖各1人。跨学科协同机制凸显“法律+经贸”融合特点。沈子华教授凭借国际法与宪法交叉研究经验，主讲“国际人权法的国内适用”课程；地丽格娜・地里夏提副教授运用知识产权法与民族学交叉方法，解析中亚非遗保护法律路径；国际经贸学院师资参与的“国际贸易规则与法律适用”课程，构建“贸易术语—合同规范—争端解决”递进式教学链条，实现经济学分析与法律规范研究的有机融合。​</w:t>
            </w:r>
          </w:p>
          <w:p w14:paraId="022F585B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z w:val="24"/>
                <w:szCs w:val="24"/>
                <w:lang w:val="en-US" w:eastAsia="zh-CN"/>
              </w:rPr>
              <w:t>（三）实践教学支撑​</w:t>
            </w:r>
          </w:p>
          <w:p w14:paraId="47BCC991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遵循“认知构建—能力内化—价值塑造”的教育规律，以“理论联系实践”为核心逻辑，构建服务区域战略的实践教学体系，形成“平台支撑—课程承载—研究引领”的闭环培养模式。​</w:t>
            </w:r>
          </w:p>
          <w:p w14:paraId="30B52FA1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自治区级协同培养基地通过“政府—司法—高校—律所”四方协同，建立“实践需求反向优化教学内容”的机制。基地以“丝绸之路经济带法治人才能力标准”为指引，共建包含30余个实务模块的课程体系，其中国家级法学虚拟仿真实验教学项目“跨境商事纠纷解决”，采用“情景模拟—规则适用—效果评估”方式，年均培养学生200余人次，推动法律知识向实务能力转化。​</w:t>
            </w:r>
          </w:p>
          <w:p w14:paraId="33B1DF1D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校地协同实践平台聚焦中亚经贸法治实践需求开展建设。“中亚跨境商事纠纷调解中心”运用“调解技术—法律适用—文化理解”三维训练方式，将30余起真实案例转化为教学素材，学生通过“规范检索—利益平衡—方案设计”实操训练，掌握国际商事调解核心方法；“中亚国家判例研习工坊”采用“判例解构—比较分析—本土借鉴”方法，整理的100余个双语判例形成“国际私法适用”教学实证数据库，为涉外案件法律选择提供支撑。</w:t>
            </w:r>
          </w:p>
          <w:p w14:paraId="7091EF77">
            <w:pPr>
              <w:spacing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阶梯式实践课程体系按“认知—技能—创新”递进逻辑构建。专业认知层通过“中亚法律文化导引”，运用法律人类学田野调查方法，结合VR技术打造沉浸式认知场景；实务技能层依托“中亚投资权益保护诊所”，采用“问题导向学习法”，指导学生为自贸区企业提供“外资准入—合同审查—争端预防”全流程服务；创新研究层以国家社科项目为依托，组建“中亚投资争端预警研究小组”，开发包含356部中亚国家外资法律的智能检索系统，构建“风险识别—规则映射—对策生成”智能分析模型，实现实践教学与学术研究的相互促进。</w:t>
            </w:r>
          </w:p>
          <w:p w14:paraId="6C6C4A44"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三、学校专业发展规划</w:t>
            </w:r>
          </w:p>
          <w:p w14:paraId="76EC7032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一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专业定位与发展目标</w:t>
            </w:r>
          </w:p>
          <w:p w14:paraId="3AFC70C1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战略定位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立足新疆“丝绸之路经济带核心区”区位优势，打造以“中亚区域国别法”为核心、“能源投资法律实务”为重点的国际化法学专业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构建“学科交叉—实务驱动—成果转化”一体化的涉外法治人才培养体系，服务中国西部对外开放战略与中亚区域经济合作需求。</w:t>
            </w:r>
          </w:p>
          <w:p w14:paraId="105DBDAC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发展目标：短期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目标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（2025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2027年）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获批自治区级本科教学改革项目2项，建成中亚法律全案例资源库（覆盖哈、吉、塔三国判例）；中期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目标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（2028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2029年）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培育国家级一流本科课程1门（《上海合作组织法律机制》），设立国内首个“中亚能源投资法律服务中心”；长期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目标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（2030年）：成为中亚法律研究领域国家级智库，培养200名精通中亚法律实务的专业人才。</w:t>
            </w:r>
          </w:p>
          <w:p w14:paraId="3FD7BE1D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二）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建设内容与实施路径</w:t>
            </w:r>
          </w:p>
          <w:p w14:paraId="30F23A6D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特色课程体系构建</w:t>
            </w:r>
          </w:p>
          <w:p w14:paraId="4E844D50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聚焦中亚区域法的课程群设计国际投资法</w:t>
            </w:r>
          </w:p>
          <w:p w14:paraId="0290FF5F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核心模块：</w:t>
            </w:r>
          </w:p>
          <w:p w14:paraId="0CCB2BF1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基础理论层：《国际法》《国际贸易法》《国际投资法》；</w:t>
            </w:r>
          </w:p>
          <w:p w14:paraId="4C16A39E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区域专精层：《亚欧区域国际经济法》《国际民商事争议解决法》；</w:t>
            </w:r>
          </w:p>
          <w:p w14:paraId="1180821D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实务融合层：《国际法案例选读》《国际商务谈判》。</w:t>
            </w:r>
          </w:p>
          <w:p w14:paraId="18068F0E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课程创新：开发《丝绸之路经济带法律实务案例集》，嵌入中亚五国356部外资法律全文数据（基于吴晓燕国家社科课题成果）；开设《中亚非正式争端解决机制》，整合吉尔吉斯斯坦“长老调解”等传统纠纷处理模式案例。</w:t>
            </w:r>
          </w:p>
          <w:p w14:paraId="63E80E7E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强化本土教学资源建设</w:t>
            </w:r>
          </w:p>
          <w:p w14:paraId="5F20DBB5">
            <w:pPr>
              <w:spacing w:line="360" w:lineRule="auto"/>
              <w:ind w:firstLine="480" w:firstLineChars="200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双语教材开发：2026年前出版《中哈国际商事仲裁实务指南》；2027年前完成《乌兹别克斯坦外资法律汇编》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。</w:t>
            </w:r>
          </w:p>
          <w:p w14:paraId="293CCDB7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数字化教学资源：建设“中亚法律VR实务系统”，模拟哈萨克斯坦投资争议仲裁全流程；开发“中国—中亚法律智能检索平台”，集成区域投资协定、司法判例、学术论文等多模态数据。</w:t>
            </w:r>
          </w:p>
          <w:p w14:paraId="77FA9B8A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师资队伍进阶计划</w:t>
            </w:r>
          </w:p>
          <w:p w14:paraId="746AAC81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内部梯队培养</w:t>
            </w:r>
          </w:p>
          <w:p w14:paraId="105B393F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学科带头人培育：吴晓燕副教授（国际投资争端方向）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支持其国家社科项目研究成果转化，3年内培育为省级教学名师；阿不都热合曼·卡德尔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副教授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（上合组织法律方向）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依托《上海合作组织法制机理研究》专著，打造区域法研究标杆。</w:t>
            </w:r>
          </w:p>
          <w:p w14:paraId="35ECD77D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青年教师专项提升：实施“中亚法律实务师资能力认证计划”，选派孙群、吐热尼萨等教师赴霍尔果斯自贸区法庭实践轮岗，人均年度实务教学课时占比提高至40%。</w:t>
            </w:r>
          </w:p>
          <w:p w14:paraId="3ABB6E5A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区域专家柔性引进</w:t>
            </w:r>
          </w:p>
          <w:p w14:paraId="6EEC9E1F">
            <w:pPr>
              <w:spacing w:line="360" w:lineRule="auto"/>
              <w:ind w:firstLine="480" w:firstLineChars="200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实务导师聘任：聘请哈萨克斯坦阿拉木图仲裁中心专家、吉尔吉斯斯坦投资署法律顾问等 5名中亚实务专家 ，组建跨境法律实务教学团队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。</w:t>
            </w:r>
          </w:p>
          <w:p w14:paraId="015608A8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学术资源共享：与塔吉克斯坦国立大学法学院建立判例互换机制，每年获取中亚国家最新案例不少于50份。</w:t>
            </w:r>
          </w:p>
          <w:p w14:paraId="7222B854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实践教学体系深化</w:t>
            </w:r>
          </w:p>
          <w:p w14:paraId="508524F5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实体平台升级</w:t>
            </w:r>
          </w:p>
          <w:p w14:paraId="3A83E16C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霍尔果斯实训基地功能拓展：建设跨境商事纠纷模拟调解中心（2026年前），配备双语调解室、电子证据采信实验室；与新疆新华水电合作建设“中亚能源合规审查工作站”，每年承接3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～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5个中亚水电项目法律尽职调查实务。</w:t>
            </w:r>
          </w:p>
          <w:p w14:paraId="5EE1BA17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特色实践项目开发</w:t>
            </w:r>
          </w:p>
          <w:p w14:paraId="1C81FA10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区域性模拟实训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年度品牌项目“中哈边境贸易法律攻防赛”（2025年起），基于真实霍尔果斯口岸贸易纠纷案例设计；开发“中亚工程承包合同谈判沙盘”，覆盖哈萨克斯坦《建筑法》、塔吉克斯坦《外资法》等实务标准。</w:t>
            </w:r>
          </w:p>
          <w:p w14:paraId="6515A726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社会服务项目：实施“百企中亚护航计划”：组织师生为新疆本地企业提供对外投资法律风险评估，2027年前完成《中亚国家投资合规指引（商贸/能源/基建分册）》；设立“中亚法律公益咨询日”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联合自治区商务厅开展常态化涉外法律咨询服务。</w:t>
            </w:r>
          </w:p>
          <w:p w14:paraId="3735C526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科研成果转化机制</w:t>
            </w:r>
          </w:p>
          <w:p w14:paraId="35448621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智库功能强化</w:t>
            </w:r>
          </w:p>
          <w:p w14:paraId="5186CA26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专题研究报告：连续发布《中亚国家法律环境年度评估》（沈子华教授总编），覆盖投资准入、税收政策、劳动合规等维度；编制《上海合作组织成员国司法互助典型案例集》（阿不都热合曼团队主编）。</w:t>
            </w:r>
          </w:p>
          <w:p w14:paraId="67B1624F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教学成果定向转化</w:t>
            </w:r>
          </w:p>
          <w:p w14:paraId="23008E62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实务工具开发：基于地丽格娜副教授的《非遗生产性保护评估》项目，开发《中亚传统工艺知识产权保护实务手册》；依托董梅副教授财税研究成果，构建“中亚国家税收合规自检系统”。</w:t>
            </w:r>
          </w:p>
          <w:p w14:paraId="79EBD01D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三）</w:t>
            </w: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保障措施</w:t>
            </w:r>
          </w:p>
          <w:p w14:paraId="15E33F0C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1.组织领导</w:t>
            </w:r>
          </w:p>
          <w:p w14:paraId="4F21544D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成立由校级领导牵头的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lang w:val="en-US" w:eastAsia="zh-CN"/>
              </w:rPr>
              <w:t>国际经贸规则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专业建设领导小组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制定《中亚法律人才培养专项实施方案》；组建跨学科课程建设委员会，统筹法学院、国际经贸学院、管理学院教学资源。</w:t>
            </w:r>
          </w:p>
          <w:p w14:paraId="3B2F2C84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2.资源投入</w:t>
            </w:r>
          </w:p>
          <w:p w14:paraId="517CC071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设立“中亚法律研究专项基金”（年度预算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50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万元），重点支持区域法律文献采购、双语教学资源开发；建设“中亚法律文化体验中心”，还原哈萨克斯坦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eastAsia="zh-CN"/>
              </w:rPr>
              <w:t>最高人民法院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庭审场景等特色教学空间。</w:t>
            </w:r>
          </w:p>
          <w:p w14:paraId="638DC758">
            <w:pPr>
              <w:spacing w:line="360" w:lineRule="auto"/>
              <w:ind w:firstLine="480" w:firstLineChars="200"/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3.质量评估</w:t>
            </w:r>
          </w:p>
          <w:p w14:paraId="7EB5C941"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实施“三环质量监控”：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课程质量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方面，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采用《中亚法律实务专家评审指标》（外聘实务专家占比40%）；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培养成效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方面，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设置“中亚法律实务能力认证考试”（双语案例分析与文书写作）；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社会反馈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方面，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</w:rPr>
              <w:t>建立新疆外贸企业人才质量评价跟踪机制。</w:t>
            </w:r>
          </w:p>
        </w:tc>
      </w:tr>
    </w:tbl>
    <w:p w14:paraId="0208C6A5">
      <w:pPr>
        <w:spacing w:line="440" w:lineRule="exact"/>
        <w:jc w:val="center"/>
        <w:rPr>
          <w:rFonts w:hint="eastAsia" w:ascii="黑体" w:hAnsi="黑体" w:eastAsia="黑体"/>
          <w:bCs/>
          <w:color w:val="auto"/>
          <w:sz w:val="36"/>
          <w:szCs w:val="36"/>
          <w:lang w:val="en-US" w:eastAsia="zh-CN"/>
        </w:rPr>
      </w:pPr>
    </w:p>
    <w:p w14:paraId="23E09C94">
      <w:pPr>
        <w:spacing w:line="440" w:lineRule="exact"/>
        <w:jc w:val="center"/>
        <w:rPr>
          <w:rFonts w:eastAsia="仿宋_GB2312"/>
          <w:b/>
          <w:color w:val="auto"/>
          <w:sz w:val="24"/>
        </w:rPr>
      </w:pPr>
      <w:r>
        <w:rPr>
          <w:rFonts w:hint="eastAsia" w:ascii="黑体" w:hAnsi="黑体" w:eastAsia="黑体"/>
          <w:bCs/>
          <w:color w:val="auto"/>
          <w:sz w:val="36"/>
          <w:szCs w:val="36"/>
          <w:lang w:val="en-US" w:eastAsia="zh-CN"/>
        </w:rPr>
        <w:t>8</w:t>
      </w:r>
      <w:r>
        <w:rPr>
          <w:rFonts w:ascii="黑体" w:hAnsi="黑体" w:eastAsia="黑体"/>
          <w:bCs/>
          <w:color w:val="auto"/>
          <w:sz w:val="36"/>
          <w:szCs w:val="36"/>
        </w:rPr>
        <w:t>.</w:t>
      </w:r>
      <w:r>
        <w:rPr>
          <w:rFonts w:hint="eastAsia" w:ascii="黑体" w:hAnsi="黑体" w:eastAsia="黑体"/>
          <w:bCs/>
          <w:color w:val="auto"/>
          <w:sz w:val="36"/>
          <w:szCs w:val="36"/>
        </w:rPr>
        <w:t>增设专业的区分度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 w14:paraId="378D544C">
        <w:trPr>
          <w:trHeight w:val="953" w:hRule="atLeast"/>
        </w:trPr>
        <w:tc>
          <w:tcPr>
            <w:tcW w:w="9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FAC32D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zh-CN" w:eastAsia="zh-CN" w:bidi="zh-CN"/>
              </w:rPr>
              <w:t>国际经贸规则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专业作为法学类下的新兴交叉学科，其区分度体现在以下维度：​</w:t>
            </w:r>
          </w:p>
          <w:p w14:paraId="5C427F0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 w:bidi="zh-CN"/>
              </w:rPr>
              <w:t>其一，培养重心聚焦</w:t>
            </w: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lang w:val="zh-CN" w:eastAsia="zh-CN" w:bidi="zh-CN"/>
              </w:rPr>
              <w:t>国际经贸规则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 w:bidi="zh-CN"/>
              </w:rPr>
              <w:t>实务。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以“一带一路”涉外经贸活动的法治需求为核心，整合国际贸易规则、国际商法、跨境投资法律实务等内容，课程体系突出国际仲裁模拟、国际商事争端解决等实践模块，与侧重国内法律关系调整的民商法、刑法等传统法学专业形成显著差异，填补现有法学专业在涉外经贸实务能力培养上的空白。​</w:t>
            </w:r>
          </w:p>
          <w:p w14:paraId="46A9DF4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 w:bidi="zh-CN"/>
              </w:rPr>
              <w:t>其二，定位与培养模式凸显复合特色。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立足新疆丝绸之路经济带核心区区位优势，依托本校经管学科基础，构建“法律+经贸+外语”复合培养模式，与侧重理论研究的“国际法学”、侧重经济实务的“国际经济与贸易”形成差异化定位。专业名称采用“领域+属性”构词法（参照“知识产权”“纪检监察”等专业命名先例），符合《普通高等学校本科专业目录》规范，“</w:t>
            </w:r>
            <w:r>
              <w:rPr>
                <w:rFonts w:hint="eastAsia" w:cs="宋体"/>
                <w:color w:val="auto"/>
                <w:sz w:val="24"/>
                <w:szCs w:val="24"/>
                <w:lang w:val="zh-CN" w:eastAsia="zh-CN" w:bidi="zh-CN"/>
              </w:rPr>
              <w:t>国际经贸规则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”精准涵盖专业内涵，与现有法学二级专业无重叠。</w:t>
            </w:r>
          </w:p>
          <w:p w14:paraId="34EED4B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zh-CN" w:eastAsia="zh-CN" w:bidi="zh-CN"/>
              </w:rPr>
              <w:t>其三，人才培养路径侧重实战能力。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响应国家涉外法治人才战略，通过涉外律所、自贸区法庭等校企联合培养及案例库建设，强化学生处理跨境并购、反倾销调查等复杂场景的实战能力，与传统法学专业的通用型培养路径形成鲜明对比，具有不可替代性。</w:t>
            </w:r>
          </w:p>
        </w:tc>
      </w:tr>
    </w:tbl>
    <w:p w14:paraId="5A1605F7">
      <w:pPr>
        <w:spacing w:line="360" w:lineRule="auto"/>
        <w:ind w:left="470" w:hanging="470" w:hangingChars="196"/>
        <w:rPr>
          <w:rFonts w:ascii="仿宋" w:hAnsi="仿宋" w:eastAsia="仿宋"/>
          <w:b/>
          <w:color w:val="auto"/>
        </w:rPr>
      </w:pPr>
      <w:r>
        <w:rPr>
          <w:rFonts w:hint="eastAsia" w:ascii="仿宋" w:hAnsi="仿宋" w:eastAsia="仿宋"/>
          <w:color w:val="auto"/>
          <w:sz w:val="24"/>
        </w:rPr>
        <w:t>注：增设尚未列入《专业目录》的新专业填写，国家控制布点的专业不需填写</w:t>
      </w:r>
      <w:r>
        <w:rPr>
          <w:rFonts w:hint="eastAsia" w:ascii="仿宋" w:hAnsi="仿宋" w:eastAsia="仿宋"/>
          <w:b/>
          <w:color w:val="auto"/>
        </w:rPr>
        <w:t>。</w:t>
      </w:r>
      <w:r>
        <w:rPr>
          <w:rFonts w:ascii="仿宋" w:hAnsi="仿宋" w:eastAsia="仿宋"/>
          <w:b/>
          <w:color w:val="auto"/>
        </w:rPr>
        <w:t xml:space="preserve"> </w:t>
      </w:r>
    </w:p>
    <w:p w14:paraId="0C356132">
      <w:pPr>
        <w:spacing w:line="360" w:lineRule="auto"/>
        <w:ind w:left="413" w:hanging="433" w:hangingChars="196"/>
        <w:rPr>
          <w:rFonts w:eastAsia="仿宋_GB2312"/>
          <w:b/>
          <w:color w:val="auto"/>
        </w:rPr>
      </w:pPr>
      <w:r>
        <w:rPr>
          <w:rFonts w:eastAsia="仿宋_GB2312"/>
          <w:b/>
          <w:color w:val="auto"/>
        </w:rPr>
        <w:t xml:space="preserve">                   </w:t>
      </w:r>
    </w:p>
    <w:p w14:paraId="2373367C">
      <w:pPr>
        <w:spacing w:line="360" w:lineRule="auto"/>
        <w:ind w:left="413" w:hanging="433" w:hangingChars="196"/>
        <w:rPr>
          <w:rFonts w:eastAsia="仿宋_GB2312"/>
          <w:b/>
          <w:color w:val="auto"/>
        </w:rPr>
      </w:pPr>
    </w:p>
    <w:p w14:paraId="1D288BA6">
      <w:pPr>
        <w:spacing w:line="360" w:lineRule="auto"/>
        <w:ind w:left="413" w:hanging="705" w:hangingChars="196"/>
        <w:jc w:val="center"/>
        <w:rPr>
          <w:rFonts w:eastAsia="仿宋_GB2312"/>
          <w:b/>
          <w:bCs/>
          <w:color w:val="auto"/>
          <w:sz w:val="24"/>
        </w:rPr>
      </w:pPr>
      <w:r>
        <w:rPr>
          <w:rFonts w:hint="eastAsia" w:ascii="黑体" w:hAnsi="黑体" w:eastAsia="黑体"/>
          <w:bCs/>
          <w:color w:val="auto"/>
          <w:sz w:val="36"/>
          <w:szCs w:val="36"/>
          <w:lang w:val="en-US" w:eastAsia="zh-CN"/>
        </w:rPr>
        <w:t>9</w:t>
      </w:r>
      <w:r>
        <w:rPr>
          <w:rFonts w:ascii="黑体" w:hAnsi="黑体" w:eastAsia="黑体"/>
          <w:bCs/>
          <w:color w:val="auto"/>
          <w:sz w:val="36"/>
          <w:szCs w:val="36"/>
        </w:rPr>
        <w:t>.</w:t>
      </w:r>
      <w:r>
        <w:rPr>
          <w:rFonts w:hint="eastAsia" w:ascii="黑体" w:hAnsi="黑体" w:eastAsia="黑体"/>
          <w:bCs/>
          <w:color w:val="auto"/>
          <w:sz w:val="36"/>
          <w:szCs w:val="36"/>
        </w:rPr>
        <w:t>增设专业的基本要求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0"/>
      </w:tblGrid>
      <w:tr w14:paraId="55E4610E">
        <w:trPr>
          <w:trHeight w:val="1364" w:hRule="atLeast"/>
        </w:trPr>
        <w:tc>
          <w:tcPr>
            <w:tcW w:w="9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2BA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-1"/>
                <w:sz w:val="24"/>
                <w:szCs w:val="22"/>
                <w:lang w:val="zh-CN" w:eastAsia="zh-CN" w:bidi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-1"/>
                <w:sz w:val="24"/>
                <w:szCs w:val="22"/>
                <w:lang w:val="zh-CN" w:eastAsia="zh-CN" w:bidi="zh-CN"/>
              </w:rPr>
              <w:t>普通高等学校本科专业基本要求：</w:t>
            </w:r>
          </w:p>
          <w:p w14:paraId="05A3F2FE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增设</w:t>
            </w:r>
            <w:r>
              <w:rPr>
                <w:rFonts w:hint="eastAsia" w:cs="宋体"/>
                <w:color w:val="auto"/>
                <w:sz w:val="24"/>
                <w:szCs w:val="24"/>
                <w:lang w:val="zh-CN" w:eastAsia="zh-CN" w:bidi="zh-CN"/>
              </w:rPr>
              <w:t>国际经贸规则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专业严格遵循教育部《普通高等学校本科专业设置管理规定》及《普通高等学校本科专业类教学质量国家标准》的基本要求，并结合近年来全国高校同类专业（如“国际经贸规则”“涉外法治”等）的申报经验，重点满足以下核心条件：  </w:t>
            </w:r>
          </w:p>
          <w:p w14:paraId="61B77504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1.人才需求论证  </w:t>
            </w:r>
          </w:p>
          <w:p w14:paraId="092A4E80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提供权威行业报告（如商务部“涉外法治人才缺口分析”）、地方发展规划（如新疆自贸试验区建设方案）及用人单位调研数据，证明</w:t>
            </w:r>
            <w:r>
              <w:rPr>
                <w:rFonts w:hint="eastAsia" w:cs="宋体"/>
                <w:color w:val="auto"/>
                <w:sz w:val="24"/>
                <w:szCs w:val="24"/>
                <w:lang w:val="zh-CN" w:eastAsia="zh-CN" w:bidi="zh-CN"/>
              </w:rPr>
              <w:t>国际经贸规则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人才在“一带一路”沿线经贸合作、跨境争端解决等领域的迫切需求。</w:t>
            </w:r>
          </w:p>
          <w:p w14:paraId="3BC6A746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2.差异化培养方案</w:t>
            </w:r>
          </w:p>
          <w:p w14:paraId="4EA06C9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须明确与法学类现有专业（如“国际法学”“国际经济与贸易”）的区分度：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课程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设置方面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包含至少30%的特色课程（如《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亚欧区域国际经济法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》《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国际民商事争议解决法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》），并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明确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与“涉外法治”专业、“国际经贸规则”专业的课程对比分析，凸显“经贸+法律+区域化”三重交叉特色。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实践环节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方面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需配备涉外模拟法庭、自贸区企业实习等实训基地。  </w:t>
            </w:r>
          </w:p>
          <w:p w14:paraId="6EABCF3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3.师资与教学保障  </w:t>
            </w:r>
          </w:p>
          <w:p w14:paraId="631CA9E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专业负责人需具有涉外法律实务经验，专任教师中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30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%以上应具备全英文授课能力或海外研修背景。需提供与中亚高校合作协议、国际法律数据库（如Westlaw、Lexis、Nexis）采购证明，或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获批国家级或省级涉外法治人才协同创新基地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的支撑材料。  </w:t>
            </w:r>
          </w:p>
          <w:p w14:paraId="45CF85A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4.名称规范性与政策衔接  </w:t>
            </w:r>
          </w:p>
          <w:p w14:paraId="44A4F299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专业名称符合《新专业申报命名指南》对“领域+属性”的要求，近年成功案例（如大连海事大学“涉外海事法治”）均强调名称与《法学类国标》的对应性。  </w:t>
            </w:r>
          </w:p>
          <w:p w14:paraId="5EC30BE8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5.区域服务特色 </w:t>
            </w:r>
          </w:p>
          <w:p w14:paraId="2575A7A1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秉持为地方经济贸易发展服务的逻辑，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结合新疆自贸试验区、中欧班列等区位要素，设计如“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亚欧区域经贸法治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”“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涉外经贸法律实务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”等特色模块。  </w:t>
            </w:r>
          </w:p>
          <w:p w14:paraId="299BC652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-1"/>
                <w:sz w:val="24"/>
                <w:szCs w:val="22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综上，系统整合需求分析、差异化设计、资源保障三方面证据链，并突出“国家战略+区域特色”的双重必要性，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zh-CN"/>
              </w:rPr>
              <w:t>从而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符合当前教育部对交叉型法学专业的审批导向。</w:t>
            </w:r>
          </w:p>
        </w:tc>
      </w:tr>
    </w:tbl>
    <w:p w14:paraId="73D3C3FA">
      <w:pPr>
        <w:pStyle w:val="2"/>
        <w:jc w:val="both"/>
        <w:rPr>
          <w:rFonts w:hint="eastAsia"/>
          <w:color w:val="auto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</w:rPr>
        <w:t>注：增设尚未列入《专业目录》的新专业填写，国家控制布点的专业不需填写。</w:t>
      </w:r>
    </w:p>
    <w:p w14:paraId="46B91ED0">
      <w:pPr>
        <w:pStyle w:val="2"/>
        <w:rPr>
          <w:rFonts w:hint="eastAsia"/>
          <w:color w:val="auto"/>
          <w:lang w:val="en-US" w:eastAsia="zh-CN"/>
        </w:rPr>
      </w:pPr>
    </w:p>
    <w:p w14:paraId="706D1B3D">
      <w:pPr>
        <w:pStyle w:val="2"/>
        <w:rPr>
          <w:color w:val="auto"/>
          <w:sz w:val="24"/>
        </w:rPr>
      </w:pPr>
      <w:r>
        <w:rPr>
          <w:rFonts w:hint="eastAsia"/>
          <w:color w:val="auto"/>
          <w:lang w:val="en-US" w:eastAsia="zh-CN"/>
        </w:rPr>
        <w:t>10</w:t>
      </w:r>
      <w:r>
        <w:rPr>
          <w:color w:val="auto"/>
        </w:rPr>
        <w:t>.申请增设专业人才培养方案</w:t>
      </w:r>
    </w:p>
    <w:tbl>
      <w:tblPr>
        <w:tblStyle w:val="11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7"/>
      </w:tblGrid>
      <w:tr w14:paraId="6611351F">
        <w:trPr>
          <w:trHeight w:val="945" w:hRule="atLeast"/>
        </w:trPr>
        <w:tc>
          <w:tcPr>
            <w:tcW w:w="9497" w:type="dxa"/>
            <w:noWrap w:val="0"/>
            <w:vAlign w:val="top"/>
          </w:tcPr>
          <w:p w14:paraId="2F8E510A">
            <w:pPr>
              <w:spacing w:before="240"/>
              <w:rPr>
                <w:rFonts w:hint="eastAsia"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</w:rPr>
              <w:t>（包括培养目标、基本要求、修业年限、授予学位、主要课程、主要实践性教学环节和主要专业实验、教学计划等内容）（如需要可加页）</w:t>
            </w:r>
          </w:p>
        </w:tc>
      </w:tr>
    </w:tbl>
    <w:p w14:paraId="0CFAE0A7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1CB3DDC5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6235E59F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4CB80BF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729798A9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07532AA4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D6E7C1A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003FF7AA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7DBCDA8B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4611C0BD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6B7887C2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04B3B153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41921AA0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45BE762A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6FB48A7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1DA1BF88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68AC56EE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02B91505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57A78B8E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50DDF66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14FCCF35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10740D1E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1FB87D78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6A250D42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5946A44C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7633FB3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69E873BB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6FE3CCAF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E3AA692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1FA32A20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0AC3511B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69195858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67F6BA97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90BA411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6D1689F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584641B2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32DBC7F3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2EC051AA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751141E3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168FD097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41AEFA4F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464E8A70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7257A13F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5C91316B">
      <w:pPr>
        <w:spacing w:line="242" w:lineRule="auto"/>
        <w:rPr>
          <w:rFonts w:ascii="Times New Roman" w:hAnsi="Times New Roman" w:cs="Times New Roman"/>
          <w:color w:val="auto"/>
          <w:sz w:val="24"/>
        </w:rPr>
      </w:pPr>
    </w:p>
    <w:p w14:paraId="139F62BA">
      <w:pPr>
        <w:pStyle w:val="2"/>
        <w:numPr>
          <w:ilvl w:val="0"/>
          <w:numId w:val="0"/>
        </w:numPr>
        <w:ind w:leftChars="0" w:right="255" w:rightChars="0"/>
        <w:jc w:val="center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11</w:t>
      </w:r>
      <w:r>
        <w:rPr>
          <w:rFonts w:ascii="Times New Roman" w:hAnsi="Times New Roman" w:cs="Times New Roman"/>
          <w:color w:val="auto"/>
        </w:rPr>
        <w:t>.校内专业设置评议专家组意见表</w:t>
      </w:r>
    </w:p>
    <w:tbl>
      <w:tblPr>
        <w:tblStyle w:val="11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4"/>
        <w:gridCol w:w="3459"/>
        <w:gridCol w:w="2660"/>
      </w:tblGrid>
      <w:tr w14:paraId="1C54504C">
        <w:trPr>
          <w:trHeight w:val="1096" w:hRule="atLeast"/>
        </w:trPr>
        <w:tc>
          <w:tcPr>
            <w:tcW w:w="6913" w:type="dxa"/>
            <w:gridSpan w:val="2"/>
            <w:noWrap w:val="0"/>
            <w:vAlign w:val="top"/>
          </w:tcPr>
          <w:p w14:paraId="2D879BF5">
            <w:pPr>
              <w:pStyle w:val="13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14:paraId="77B3FAA9">
            <w:pPr>
              <w:pStyle w:val="13"/>
              <w:spacing w:before="165"/>
              <w:ind w:left="1895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总体判断拟开设专业是否可行</w:t>
            </w:r>
          </w:p>
        </w:tc>
        <w:tc>
          <w:tcPr>
            <w:tcW w:w="2660" w:type="dxa"/>
            <w:noWrap w:val="0"/>
            <w:vAlign w:val="top"/>
          </w:tcPr>
          <w:p w14:paraId="16EB038B">
            <w:pPr>
              <w:pStyle w:val="13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14:paraId="3F6B6F78">
            <w:pPr>
              <w:pStyle w:val="13"/>
              <w:tabs>
                <w:tab w:val="left" w:pos="844"/>
              </w:tabs>
              <w:spacing w:before="148"/>
              <w:ind w:left="5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sym w:font="Wingdings 2" w:char="0052"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是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□否</w:t>
            </w:r>
          </w:p>
        </w:tc>
      </w:tr>
      <w:tr w14:paraId="30E87566">
        <w:trPr>
          <w:trHeight w:val="7049" w:hRule="atLeast"/>
        </w:trPr>
        <w:tc>
          <w:tcPr>
            <w:tcW w:w="9573" w:type="dxa"/>
            <w:gridSpan w:val="3"/>
            <w:noWrap w:val="0"/>
            <w:vAlign w:val="top"/>
          </w:tcPr>
          <w:p w14:paraId="6C77B562">
            <w:pPr>
              <w:pStyle w:val="13"/>
              <w:spacing w:before="112"/>
              <w:ind w:left="107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理由：</w:t>
            </w:r>
          </w:p>
          <w:p w14:paraId="77D812F3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zh-CN" w:eastAsia="zh-CN" w:bidi="zh-CN"/>
              </w:rPr>
              <w:t>国际经贸规则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专业，是在法学专业类下具有鲜明特色的新兴交叉学科，该专业聚焦“一带一路”倡议下涉外经贸活动的法治需求，深度融合国际贸易规则、国际商法、跨境投资法律实务等核心内容，与法学类传统专业（如民商法、刑法等）形成显著区分。</w:t>
            </w:r>
          </w:p>
          <w:p w14:paraId="316053AA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lang w:val="en-US" w:eastAsia="zh-CN" w:bidi="zh-CN"/>
              </w:rPr>
              <w:t>新疆财经大学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依托本校经管学科积淀，构建“法律+经贸+外语”的复合培养模式，与目录内“国际法学”（侧重理论）或“国际经济与贸易”（侧重经济）形成差异化定位。专业名称严格遵循《普通高等学校本科专业目录》命名规范，采用“领域+属性”的构词法（如参照“知识产权”“纪检监察”等专业先例），</w:t>
            </w:r>
            <w:r>
              <w:rPr>
                <w:rFonts w:hint="eastAsia" w:cs="宋体"/>
                <w:color w:val="auto"/>
                <w:sz w:val="24"/>
                <w:szCs w:val="24"/>
                <w:lang w:val="zh-CN" w:eastAsia="zh-CN" w:bidi="zh-CN"/>
              </w:rPr>
              <w:t>“国际经贸规则”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 xml:space="preserve">准确反映专业内涵，且与现有法学二级专业无重复。  </w:t>
            </w:r>
          </w:p>
          <w:p w14:paraId="039D6ADD">
            <w:pPr>
              <w:pStyle w:val="1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exact"/>
              <w:ind w:firstLine="480" w:firstLineChars="200"/>
              <w:textAlignment w:val="auto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 w:eastAsia="zh-CN" w:bidi="zh-CN"/>
              </w:rPr>
              <w:t>该专业响应国家急需的涉外法治人才战略，其人才培养路径明显区别于传统法学专业的通用型定位，具有明确的不可替代性。</w:t>
            </w:r>
          </w:p>
        </w:tc>
      </w:tr>
      <w:tr w14:paraId="01BD8A04">
        <w:trPr>
          <w:trHeight w:val="700" w:hRule="atLeast"/>
        </w:trPr>
        <w:tc>
          <w:tcPr>
            <w:tcW w:w="6913" w:type="dxa"/>
            <w:gridSpan w:val="2"/>
            <w:noWrap w:val="0"/>
            <w:vAlign w:val="top"/>
          </w:tcPr>
          <w:p w14:paraId="18DAF3B2">
            <w:pPr>
              <w:pStyle w:val="13"/>
              <w:spacing w:before="3"/>
              <w:rPr>
                <w:rFonts w:ascii="Times New Roman" w:hAnsi="Times New Roman" w:cs="Times New Roman"/>
                <w:color w:val="auto"/>
                <w:sz w:val="21"/>
              </w:rPr>
            </w:pPr>
          </w:p>
          <w:p w14:paraId="5E7CE8CF">
            <w:pPr>
              <w:pStyle w:val="13"/>
              <w:ind w:left="1535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拟招生人数与人才需求预测是否匹配</w:t>
            </w:r>
          </w:p>
        </w:tc>
        <w:tc>
          <w:tcPr>
            <w:tcW w:w="2660" w:type="dxa"/>
            <w:noWrap w:val="0"/>
            <w:vAlign w:val="top"/>
          </w:tcPr>
          <w:p w14:paraId="50AAAC21">
            <w:pPr>
              <w:pStyle w:val="13"/>
              <w:spacing w:before="3"/>
              <w:rPr>
                <w:rFonts w:ascii="Times New Roman" w:hAnsi="Times New Roman" w:cs="Times New Roman"/>
                <w:color w:val="auto"/>
                <w:sz w:val="21"/>
              </w:rPr>
            </w:pPr>
          </w:p>
          <w:p w14:paraId="250BA8FC">
            <w:pPr>
              <w:pStyle w:val="13"/>
              <w:tabs>
                <w:tab w:val="left" w:pos="844"/>
              </w:tabs>
              <w:ind w:left="5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sym w:font="Wingdings 2" w:char="0052"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是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□否</w:t>
            </w:r>
          </w:p>
        </w:tc>
      </w:tr>
      <w:tr w14:paraId="1CFAF104">
        <w:trPr>
          <w:trHeight w:val="441" w:hRule="atLeast"/>
        </w:trPr>
        <w:tc>
          <w:tcPr>
            <w:tcW w:w="3454" w:type="dxa"/>
            <w:vMerge w:val="restart"/>
            <w:noWrap w:val="0"/>
            <w:vAlign w:val="top"/>
          </w:tcPr>
          <w:p w14:paraId="5B80E39B">
            <w:pPr>
              <w:pStyle w:val="13"/>
              <w:spacing w:before="9"/>
              <w:rPr>
                <w:rFonts w:ascii="Times New Roman" w:hAnsi="Times New Roman" w:cs="Times New Roman"/>
                <w:color w:val="auto"/>
                <w:sz w:val="29"/>
              </w:rPr>
            </w:pPr>
          </w:p>
          <w:p w14:paraId="0C13CAF7">
            <w:pPr>
              <w:pStyle w:val="13"/>
              <w:spacing w:line="345" w:lineRule="auto"/>
              <w:ind w:left="525" w:right="276" w:hanging="240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  <w:noWrap w:val="0"/>
            <w:vAlign w:val="top"/>
          </w:tcPr>
          <w:p w14:paraId="167EAF1A">
            <w:pPr>
              <w:pStyle w:val="13"/>
              <w:spacing w:before="112"/>
              <w:ind w:left="1247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教师队伍</w:t>
            </w:r>
          </w:p>
        </w:tc>
        <w:tc>
          <w:tcPr>
            <w:tcW w:w="2660" w:type="dxa"/>
            <w:noWrap w:val="0"/>
            <w:vAlign w:val="top"/>
          </w:tcPr>
          <w:p w14:paraId="41872677">
            <w:pPr>
              <w:pStyle w:val="13"/>
              <w:tabs>
                <w:tab w:val="left" w:pos="844"/>
              </w:tabs>
              <w:spacing w:before="112"/>
              <w:ind w:left="5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sym w:font="Wingdings 2" w:char="0052"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是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□否</w:t>
            </w:r>
          </w:p>
        </w:tc>
      </w:tr>
      <w:tr w14:paraId="16920445">
        <w:trPr>
          <w:trHeight w:val="438" w:hRule="atLeast"/>
        </w:trPr>
        <w:tc>
          <w:tcPr>
            <w:tcW w:w="3454" w:type="dxa"/>
            <w:vMerge w:val="continue"/>
            <w:tcBorders>
              <w:top w:val="nil"/>
            </w:tcBorders>
            <w:noWrap w:val="0"/>
            <w:vAlign w:val="top"/>
          </w:tcPr>
          <w:p w14:paraId="5D2D0347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459" w:type="dxa"/>
            <w:noWrap w:val="0"/>
            <w:vAlign w:val="top"/>
          </w:tcPr>
          <w:p w14:paraId="243A7E26">
            <w:pPr>
              <w:pStyle w:val="13"/>
              <w:spacing w:before="112" w:line="306" w:lineRule="exact"/>
              <w:ind w:left="1247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实践条件</w:t>
            </w:r>
          </w:p>
        </w:tc>
        <w:tc>
          <w:tcPr>
            <w:tcW w:w="2660" w:type="dxa"/>
            <w:noWrap w:val="0"/>
            <w:vAlign w:val="top"/>
          </w:tcPr>
          <w:p w14:paraId="4386DC98">
            <w:pPr>
              <w:pStyle w:val="13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sym w:font="Wingdings 2" w:char="0052"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是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□否</w:t>
            </w:r>
          </w:p>
        </w:tc>
      </w:tr>
      <w:tr w14:paraId="58B335E8">
        <w:trPr>
          <w:trHeight w:val="441" w:hRule="atLeast"/>
        </w:trPr>
        <w:tc>
          <w:tcPr>
            <w:tcW w:w="3454" w:type="dxa"/>
            <w:vMerge w:val="continue"/>
            <w:tcBorders>
              <w:top w:val="nil"/>
            </w:tcBorders>
            <w:noWrap w:val="0"/>
            <w:vAlign w:val="top"/>
          </w:tcPr>
          <w:p w14:paraId="72FF05CA">
            <w:pPr>
              <w:rPr>
                <w:rFonts w:ascii="Times New Roman" w:hAnsi="Times New Roman" w:cs="Times New Roman"/>
                <w:color w:val="auto"/>
                <w:sz w:val="2"/>
                <w:szCs w:val="2"/>
              </w:rPr>
            </w:pPr>
          </w:p>
        </w:tc>
        <w:tc>
          <w:tcPr>
            <w:tcW w:w="3459" w:type="dxa"/>
            <w:noWrap w:val="0"/>
            <w:vAlign w:val="top"/>
          </w:tcPr>
          <w:p w14:paraId="4B4898F3">
            <w:pPr>
              <w:pStyle w:val="13"/>
              <w:spacing w:before="113"/>
              <w:ind w:left="1247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经费保障</w:t>
            </w:r>
          </w:p>
        </w:tc>
        <w:tc>
          <w:tcPr>
            <w:tcW w:w="2660" w:type="dxa"/>
            <w:noWrap w:val="0"/>
            <w:vAlign w:val="top"/>
          </w:tcPr>
          <w:p w14:paraId="14E8749F">
            <w:pPr>
              <w:pStyle w:val="13"/>
              <w:tabs>
                <w:tab w:val="left" w:pos="844"/>
              </w:tabs>
              <w:spacing w:before="113"/>
              <w:ind w:left="5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sym w:font="Wingdings 2" w:char="0052"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是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□否</w:t>
            </w:r>
          </w:p>
        </w:tc>
      </w:tr>
      <w:tr w14:paraId="4432B91A">
        <w:trPr>
          <w:trHeight w:val="2734" w:hRule="atLeast"/>
        </w:trPr>
        <w:tc>
          <w:tcPr>
            <w:tcW w:w="9573" w:type="dxa"/>
            <w:gridSpan w:val="3"/>
            <w:noWrap w:val="0"/>
            <w:vAlign w:val="top"/>
          </w:tcPr>
          <w:p w14:paraId="0F67144F">
            <w:pPr>
              <w:pStyle w:val="13"/>
              <w:spacing w:line="307" w:lineRule="exact"/>
              <w:ind w:left="107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专家签字：</w:t>
            </w:r>
          </w:p>
        </w:tc>
      </w:tr>
    </w:tbl>
    <w:p w14:paraId="454DE65F">
      <w:pPr>
        <w:spacing w:line="307" w:lineRule="exact"/>
        <w:rPr>
          <w:rFonts w:ascii="Times New Roman" w:hAnsi="Times New Roman" w:cs="Times New Roman"/>
          <w:color w:val="auto"/>
          <w:sz w:val="24"/>
        </w:rPr>
        <w:sectPr>
          <w:headerReference r:id="rId5" w:type="default"/>
          <w:footerReference r:id="rId6" w:type="default"/>
          <w:pgSz w:w="11910" w:h="16840"/>
          <w:pgMar w:top="1680" w:right="660" w:bottom="280" w:left="1200" w:header="1320" w:footer="77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966F143">
      <w:pPr>
        <w:pStyle w:val="5"/>
        <w:rPr>
          <w:rFonts w:ascii="Times New Roman" w:hAnsi="Times New Roman" w:cs="Times New Roman"/>
          <w:color w:val="auto"/>
          <w:sz w:val="20"/>
        </w:rPr>
      </w:pPr>
      <w:r>
        <w:rPr>
          <w:rFonts w:ascii="Times New Roman" w:hAnsi="Times New Roman" w:cs="Times New Roman"/>
          <w:color w:val="aut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822960</wp:posOffset>
                </wp:positionH>
                <wp:positionV relativeFrom="paragraph">
                  <wp:posOffset>90805</wp:posOffset>
                </wp:positionV>
                <wp:extent cx="6085205" cy="8366760"/>
                <wp:effectExtent l="1270" t="1270" r="9525" b="1397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5205" cy="8366760"/>
                          <a:chOff x="1306" y="-58"/>
                          <a:chExt cx="9583" cy="11863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1306" y="-58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1316" y="-53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矩形 3"/>
                        <wps:cNvSpPr/>
                        <wps:spPr>
                          <a:xfrm>
                            <a:off x="10879" y="-58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1311" y="-48"/>
                            <a:ext cx="0" cy="11843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矩形 5"/>
                        <wps:cNvSpPr/>
                        <wps:spPr>
                          <a:xfrm>
                            <a:off x="1306" y="11795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1316" y="11800"/>
                            <a:ext cx="9563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10884" y="-48"/>
                            <a:ext cx="0" cy="11843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矩形 8"/>
                        <wps:cNvSpPr/>
                        <wps:spPr>
                          <a:xfrm>
                            <a:off x="10879" y="11795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.8pt;margin-top:7.15pt;height:658.8pt;width:479.15pt;mso-position-horizontal-relative:page;z-index:-251657216;mso-width-relative:page;mso-height-relative:page;" coordorigin="1306,-58" coordsize="9583,11863" o:gfxdata="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AuInZS2wAAAAwBAAAPAAAAAAAAAAEAIAAAACIA&#10;AABkcnMvZG93bnJldi54bWxQSwECFAAUAAAACACHTuJAVN8XF1wDAAAuEQAADgAAAAAAAAABACAA&#10;AAAqAQAAZHJzL2Uyb0RvYy54bWxQSwUGAAAAAAYABgBZAQAA+AYAAAAA&#10;">
                <o:lock v:ext="edit" aspectratio="f"/>
                <v:rect id="_x0000_s1026" o:spid="_x0000_s1026" o:spt="1" style="position:absolute;left:1306;top:-58;height:10;width:10;" fillcolor="#000000" filled="t" stroked="f" coordsize="21600,21600" o:gfxdata="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8Uk7sAAADa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rect>
                <v:line id="_x0000_s1026" o:spid="_x0000_s1026" o:spt="20" style="position:absolute;left:1316;top:-53;height:0;width:9563;" filled="f" stroked="t" coordsize="21600,21600" o:gfxdata="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i89H6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_x0000_s1026" o:spid="_x0000_s1026" o:spt="1" style="position:absolute;left:10879;top:-58;height:10;width:10;" fillcolor="#000000" filled="t" stroked="f" coordsize="21600,21600" o:gfxdata="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Evf74A&#10;AADa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line id="_x0000_s1026" o:spid="_x0000_s1026" o:spt="20" style="position:absolute;left:1311;top:-48;height:11843;width:0;" filled="f" stroked="t" coordsize="21600,21600" o:gfxdata="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ZyZ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_x0000_s1026" o:spid="_x0000_s1026" o:spt="1" style="position:absolute;left:1306;top:11795;height:10;width:10;" fillcolor="#000000" filled="t" stroked="f" coordsize="21600,21600" o:gfxdata="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UEpC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line id="_x0000_s1026" o:spid="_x0000_s1026" o:spt="20" style="position:absolute;left:1316;top:11800;height:0;width:9563;" filled="f" stroked="t" coordsize="21600,21600" o:gfxdata="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h/J9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_x0000_s1026" o:spid="_x0000_s1026" o:spt="20" style="position:absolute;left:10884;top:-48;height:11843;width:0;" filled="f" stroked="t" coordsize="21600,21600" o:gfxdata="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1fm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_x0000_s1026" o:spid="_x0000_s1026" o:spt="1" style="position:absolute;left:10879;top:11795;height:10;width:10;" fillcolor="#000000" filled="t" stroked="f" coordsize="21600,21600" o:gfxdata="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IVvQ65AAAA2gAA&#10;AA8AAAAAAAAAAQAgAAAAIgAAAGRycy9kb3ducmV2LnhtbFBLAQIUABQAAAAIAIdO4kAzLwWeOwAA&#10;ADkAAAAQAAAAAAAAAAEAIAAAAAgBAABkcnMvc2hhcGV4bWwueG1sUEsFBgAAAAAGAAYAWwEAALID&#10;AAAAAA==&#10;">
                  <v:fill on="t" focussize="0,0"/>
                  <v:stroke on="f"/>
                  <v:imagedata o:title=""/>
                  <o:lock v:ext="edit" aspectratio="f"/>
                </v:rect>
              </v:group>
            </w:pict>
          </mc:Fallback>
        </mc:AlternateContent>
      </w:r>
    </w:p>
    <w:p w14:paraId="6DC4F29B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2</w:t>
      </w:r>
      <w:r>
        <w:rPr>
          <w:rFonts w:ascii="Times New Roman" w:hAnsi="Times New Roman" w:cs="Times New Roman"/>
          <w:color w:val="auto"/>
        </w:rPr>
        <w:t>.医学类、公安类专业相关部门意见</w:t>
      </w:r>
    </w:p>
    <w:p w14:paraId="0B63086A">
      <w:pPr>
        <w:spacing w:before="67"/>
        <w:ind w:left="218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t>（应出具省级卫生部门、公安部门对增设专业意见的公函并加盖公章）</w:t>
      </w:r>
    </w:p>
    <w:p w14:paraId="6F33D96E">
      <w:pPr>
        <w:rPr>
          <w:color w:val="auto"/>
        </w:rPr>
      </w:pPr>
    </w:p>
    <w:sectPr>
      <w:headerReference r:id="rId7" w:type="default"/>
      <w:pgSz w:w="11910" w:h="16840"/>
      <w:pgMar w:top="1680" w:right="660" w:bottom="280" w:left="1200" w:header="1320" w:footer="91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EF" w:usb1="C0007841" w:usb2="00000009" w:usb3="00000000" w:csb0="400001FF" w:csb1="FFFF0000"/>
    <w:embedRegular r:id="rId1" w:fontKey="{85241B3A-135D-75CB-EA57-2E6A008E96EA}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苹方-简">
    <w:altName w:val="Times New Roman"/>
    <w:panose1 w:val="020B0600000000000000"/>
    <w:charset w:val="00"/>
    <w:family w:val="auto"/>
    <w:pitch w:val="default"/>
    <w:sig w:usb0="00000000" w:usb1="00000000" w:usb2="00000017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2" w:fontKey="{EAFE0259-C8F6-BB3C-EA57-2E6A32ECE948}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F595D">
    <w:pPr>
      <w:pStyle w:val="7"/>
      <w:jc w:val="center"/>
    </w:pPr>
  </w:p>
  <w:p w14:paraId="1A34E980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7CCAA">
    <w:pPr>
      <w:pStyle w:val="7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27</w:t>
    </w:r>
    <w:r>
      <w:fldChar w:fldCharType="end"/>
    </w:r>
  </w:p>
  <w:p w14:paraId="3B2FF41B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60828"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DC5BB">
    <w:pPr>
      <w:pStyle w:val="5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739EC">
    <w:pPr>
      <w:pStyle w:val="5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mOTFmNzI3ZTBhNzUwZDEzZjNlOTcxYWNlOWQwZjEifQ=="/>
  </w:docVars>
  <w:rsids>
    <w:rsidRoot w:val="5E4E0CBB"/>
    <w:rsid w:val="00901D88"/>
    <w:rsid w:val="009B3C6B"/>
    <w:rsid w:val="00A91CC2"/>
    <w:rsid w:val="00B406C6"/>
    <w:rsid w:val="0192534D"/>
    <w:rsid w:val="01C012ED"/>
    <w:rsid w:val="021358C1"/>
    <w:rsid w:val="02CB619B"/>
    <w:rsid w:val="03195159"/>
    <w:rsid w:val="03870314"/>
    <w:rsid w:val="04463869"/>
    <w:rsid w:val="04723407"/>
    <w:rsid w:val="04BD2B3A"/>
    <w:rsid w:val="04EE6171"/>
    <w:rsid w:val="0523406D"/>
    <w:rsid w:val="05504736"/>
    <w:rsid w:val="05564E4C"/>
    <w:rsid w:val="05C70E9C"/>
    <w:rsid w:val="05DD246D"/>
    <w:rsid w:val="065F7326"/>
    <w:rsid w:val="073634EE"/>
    <w:rsid w:val="07893F2F"/>
    <w:rsid w:val="07C338E5"/>
    <w:rsid w:val="08640B6B"/>
    <w:rsid w:val="086D066B"/>
    <w:rsid w:val="088E3EF3"/>
    <w:rsid w:val="08B5322E"/>
    <w:rsid w:val="09150170"/>
    <w:rsid w:val="092E2FE0"/>
    <w:rsid w:val="093C56FD"/>
    <w:rsid w:val="093E30C8"/>
    <w:rsid w:val="097A2C1F"/>
    <w:rsid w:val="09BE6112"/>
    <w:rsid w:val="0AF5096A"/>
    <w:rsid w:val="0B121CB0"/>
    <w:rsid w:val="0B136931"/>
    <w:rsid w:val="0B6E1DBA"/>
    <w:rsid w:val="0BDA5B40"/>
    <w:rsid w:val="0C332C04"/>
    <w:rsid w:val="0CCD48BE"/>
    <w:rsid w:val="0CD51C92"/>
    <w:rsid w:val="0D0A182B"/>
    <w:rsid w:val="0D18022F"/>
    <w:rsid w:val="0DEA6999"/>
    <w:rsid w:val="0E2A0A96"/>
    <w:rsid w:val="0EB75826"/>
    <w:rsid w:val="0EE52393"/>
    <w:rsid w:val="0F470958"/>
    <w:rsid w:val="0F9718DF"/>
    <w:rsid w:val="0FDA7A1E"/>
    <w:rsid w:val="0FE64614"/>
    <w:rsid w:val="10741C20"/>
    <w:rsid w:val="10860438"/>
    <w:rsid w:val="10F44B0F"/>
    <w:rsid w:val="113B273E"/>
    <w:rsid w:val="12220C06"/>
    <w:rsid w:val="12577104"/>
    <w:rsid w:val="13A630D2"/>
    <w:rsid w:val="14AF1479"/>
    <w:rsid w:val="14C30A80"/>
    <w:rsid w:val="150572EB"/>
    <w:rsid w:val="15244AB1"/>
    <w:rsid w:val="166444E5"/>
    <w:rsid w:val="1666200B"/>
    <w:rsid w:val="169F72CB"/>
    <w:rsid w:val="172F68A1"/>
    <w:rsid w:val="17842AD5"/>
    <w:rsid w:val="17DD454F"/>
    <w:rsid w:val="17DF02C7"/>
    <w:rsid w:val="18027B12"/>
    <w:rsid w:val="181D2B9D"/>
    <w:rsid w:val="18982224"/>
    <w:rsid w:val="189E72F4"/>
    <w:rsid w:val="18A92683"/>
    <w:rsid w:val="193627B1"/>
    <w:rsid w:val="19856C4C"/>
    <w:rsid w:val="19C943CD"/>
    <w:rsid w:val="1A383CBF"/>
    <w:rsid w:val="1A4D2BA4"/>
    <w:rsid w:val="1A5D1977"/>
    <w:rsid w:val="1B2D1349"/>
    <w:rsid w:val="1B3E5305"/>
    <w:rsid w:val="1B60171F"/>
    <w:rsid w:val="1B8F3DB2"/>
    <w:rsid w:val="1BB13D28"/>
    <w:rsid w:val="1BD21EF1"/>
    <w:rsid w:val="1BED2887"/>
    <w:rsid w:val="1C00080C"/>
    <w:rsid w:val="1C204A0A"/>
    <w:rsid w:val="1C4C3A51"/>
    <w:rsid w:val="1C6B45CD"/>
    <w:rsid w:val="1CDB6B83"/>
    <w:rsid w:val="1CDE003F"/>
    <w:rsid w:val="1D1F1166"/>
    <w:rsid w:val="1D5A03F0"/>
    <w:rsid w:val="1DC6659E"/>
    <w:rsid w:val="1DDD6501"/>
    <w:rsid w:val="1E485EA8"/>
    <w:rsid w:val="1E7352C5"/>
    <w:rsid w:val="1FA03673"/>
    <w:rsid w:val="1FFE32B4"/>
    <w:rsid w:val="201F771A"/>
    <w:rsid w:val="20FF1092"/>
    <w:rsid w:val="212B632B"/>
    <w:rsid w:val="21394F20"/>
    <w:rsid w:val="213F1DD6"/>
    <w:rsid w:val="217110B4"/>
    <w:rsid w:val="21723F5A"/>
    <w:rsid w:val="21815F4B"/>
    <w:rsid w:val="22146DBF"/>
    <w:rsid w:val="2298179E"/>
    <w:rsid w:val="22FB7F7F"/>
    <w:rsid w:val="230B6414"/>
    <w:rsid w:val="23151041"/>
    <w:rsid w:val="24284DA4"/>
    <w:rsid w:val="245C4A4D"/>
    <w:rsid w:val="24853FA4"/>
    <w:rsid w:val="24AC7783"/>
    <w:rsid w:val="253D03DB"/>
    <w:rsid w:val="25DB595E"/>
    <w:rsid w:val="260158AC"/>
    <w:rsid w:val="264F486A"/>
    <w:rsid w:val="26906C30"/>
    <w:rsid w:val="27822A1D"/>
    <w:rsid w:val="27B94AFB"/>
    <w:rsid w:val="27C272BD"/>
    <w:rsid w:val="27D35801"/>
    <w:rsid w:val="27E2526A"/>
    <w:rsid w:val="28754330"/>
    <w:rsid w:val="29373393"/>
    <w:rsid w:val="29437F8A"/>
    <w:rsid w:val="29C31066"/>
    <w:rsid w:val="2A7F1496"/>
    <w:rsid w:val="2AFC2AE6"/>
    <w:rsid w:val="2C0B1233"/>
    <w:rsid w:val="2C136339"/>
    <w:rsid w:val="2C5A7AC4"/>
    <w:rsid w:val="2C9E20A7"/>
    <w:rsid w:val="2CC87ABC"/>
    <w:rsid w:val="2CD71115"/>
    <w:rsid w:val="2D1B36F8"/>
    <w:rsid w:val="2D265BF9"/>
    <w:rsid w:val="2D846C03"/>
    <w:rsid w:val="2D8A6187"/>
    <w:rsid w:val="2E5D564A"/>
    <w:rsid w:val="2EAD4823"/>
    <w:rsid w:val="2EBC05C2"/>
    <w:rsid w:val="2F6F1AD9"/>
    <w:rsid w:val="30004E27"/>
    <w:rsid w:val="311566B0"/>
    <w:rsid w:val="319770C5"/>
    <w:rsid w:val="31EE28F9"/>
    <w:rsid w:val="31F462C5"/>
    <w:rsid w:val="332D5F33"/>
    <w:rsid w:val="33442B9E"/>
    <w:rsid w:val="334F40FB"/>
    <w:rsid w:val="33843679"/>
    <w:rsid w:val="34076784"/>
    <w:rsid w:val="34DE58BF"/>
    <w:rsid w:val="34E645EB"/>
    <w:rsid w:val="352A2A38"/>
    <w:rsid w:val="352D5A09"/>
    <w:rsid w:val="35942299"/>
    <w:rsid w:val="35B53880"/>
    <w:rsid w:val="36692B0C"/>
    <w:rsid w:val="36A22794"/>
    <w:rsid w:val="36C7044C"/>
    <w:rsid w:val="376F5438"/>
    <w:rsid w:val="37734616"/>
    <w:rsid w:val="38000DF2"/>
    <w:rsid w:val="380D00E1"/>
    <w:rsid w:val="38140D44"/>
    <w:rsid w:val="38767CAD"/>
    <w:rsid w:val="38BE762D"/>
    <w:rsid w:val="38DE1A7D"/>
    <w:rsid w:val="38F05AC2"/>
    <w:rsid w:val="391B4A7F"/>
    <w:rsid w:val="39421835"/>
    <w:rsid w:val="396C0E37"/>
    <w:rsid w:val="39C173D5"/>
    <w:rsid w:val="3A233BEC"/>
    <w:rsid w:val="3A887EF3"/>
    <w:rsid w:val="3B530501"/>
    <w:rsid w:val="3C634773"/>
    <w:rsid w:val="3C97266F"/>
    <w:rsid w:val="3D2757A1"/>
    <w:rsid w:val="3D4A5933"/>
    <w:rsid w:val="3D8250CD"/>
    <w:rsid w:val="3DAC5CA6"/>
    <w:rsid w:val="3DFD4754"/>
    <w:rsid w:val="3E015FF2"/>
    <w:rsid w:val="3E173A67"/>
    <w:rsid w:val="3E1877DF"/>
    <w:rsid w:val="3E412892"/>
    <w:rsid w:val="3E5F540E"/>
    <w:rsid w:val="3E8D3D29"/>
    <w:rsid w:val="3EDE4585"/>
    <w:rsid w:val="3F703D2A"/>
    <w:rsid w:val="3FBB48C6"/>
    <w:rsid w:val="3FEF631E"/>
    <w:rsid w:val="406D3E12"/>
    <w:rsid w:val="40866EAC"/>
    <w:rsid w:val="41036525"/>
    <w:rsid w:val="41166258"/>
    <w:rsid w:val="41A41AB6"/>
    <w:rsid w:val="41F93BF5"/>
    <w:rsid w:val="42521512"/>
    <w:rsid w:val="42BB2D02"/>
    <w:rsid w:val="437D25BE"/>
    <w:rsid w:val="438A4CDB"/>
    <w:rsid w:val="43EF2D90"/>
    <w:rsid w:val="44043123"/>
    <w:rsid w:val="44782D86"/>
    <w:rsid w:val="44B85878"/>
    <w:rsid w:val="45BA655A"/>
    <w:rsid w:val="45FB5A1D"/>
    <w:rsid w:val="46184820"/>
    <w:rsid w:val="464F5EFE"/>
    <w:rsid w:val="46667972"/>
    <w:rsid w:val="466E2692"/>
    <w:rsid w:val="47B365EB"/>
    <w:rsid w:val="48822425"/>
    <w:rsid w:val="493D00FA"/>
    <w:rsid w:val="49A95D10"/>
    <w:rsid w:val="49CD147E"/>
    <w:rsid w:val="4A677B24"/>
    <w:rsid w:val="4A7212D4"/>
    <w:rsid w:val="4A8C1339"/>
    <w:rsid w:val="4BBB4F49"/>
    <w:rsid w:val="4C3E2B07"/>
    <w:rsid w:val="4C5440D8"/>
    <w:rsid w:val="4C8E75EA"/>
    <w:rsid w:val="4CA23096"/>
    <w:rsid w:val="4D111FCA"/>
    <w:rsid w:val="4D41465D"/>
    <w:rsid w:val="4DA42E3E"/>
    <w:rsid w:val="4DAB553E"/>
    <w:rsid w:val="4EA85447"/>
    <w:rsid w:val="4EAD5D22"/>
    <w:rsid w:val="4F3F4BCC"/>
    <w:rsid w:val="4F7F76BE"/>
    <w:rsid w:val="4F8B6063"/>
    <w:rsid w:val="4F8C3B89"/>
    <w:rsid w:val="4FB629B4"/>
    <w:rsid w:val="4FEC6DE6"/>
    <w:rsid w:val="503404A9"/>
    <w:rsid w:val="506D7517"/>
    <w:rsid w:val="50A00F4B"/>
    <w:rsid w:val="50A02B1A"/>
    <w:rsid w:val="50FD4D3F"/>
    <w:rsid w:val="515B7310"/>
    <w:rsid w:val="51BA49DE"/>
    <w:rsid w:val="524644C3"/>
    <w:rsid w:val="52750DF6"/>
    <w:rsid w:val="52C33D66"/>
    <w:rsid w:val="532064EF"/>
    <w:rsid w:val="53FA37B7"/>
    <w:rsid w:val="54161598"/>
    <w:rsid w:val="542645AC"/>
    <w:rsid w:val="543F566E"/>
    <w:rsid w:val="54627B4C"/>
    <w:rsid w:val="55E91780"/>
    <w:rsid w:val="577B69BD"/>
    <w:rsid w:val="57E00F16"/>
    <w:rsid w:val="57F9474B"/>
    <w:rsid w:val="58405511"/>
    <w:rsid w:val="59101387"/>
    <w:rsid w:val="59170968"/>
    <w:rsid w:val="59205A6E"/>
    <w:rsid w:val="597036F2"/>
    <w:rsid w:val="5B3A095E"/>
    <w:rsid w:val="5BA04C44"/>
    <w:rsid w:val="5BD32F24"/>
    <w:rsid w:val="5C003935"/>
    <w:rsid w:val="5C0754A0"/>
    <w:rsid w:val="5CB66EDC"/>
    <w:rsid w:val="5CC42BB4"/>
    <w:rsid w:val="5D0D6309"/>
    <w:rsid w:val="5D177188"/>
    <w:rsid w:val="5D755C5D"/>
    <w:rsid w:val="5DF23751"/>
    <w:rsid w:val="5DF474C9"/>
    <w:rsid w:val="5E4E0CBB"/>
    <w:rsid w:val="5E547F68"/>
    <w:rsid w:val="5ED35331"/>
    <w:rsid w:val="5F1A4D0E"/>
    <w:rsid w:val="5FA47FC1"/>
    <w:rsid w:val="5FB07420"/>
    <w:rsid w:val="5FEDEA53"/>
    <w:rsid w:val="5FF437B1"/>
    <w:rsid w:val="601C0B4F"/>
    <w:rsid w:val="60932FCA"/>
    <w:rsid w:val="60F5158E"/>
    <w:rsid w:val="616C7377"/>
    <w:rsid w:val="623E6F65"/>
    <w:rsid w:val="62682234"/>
    <w:rsid w:val="628250A4"/>
    <w:rsid w:val="62AA0157"/>
    <w:rsid w:val="62BA4F76"/>
    <w:rsid w:val="63706D80"/>
    <w:rsid w:val="63F41FD1"/>
    <w:rsid w:val="643B19AE"/>
    <w:rsid w:val="64721148"/>
    <w:rsid w:val="64E01B66"/>
    <w:rsid w:val="65C579CE"/>
    <w:rsid w:val="65D200F0"/>
    <w:rsid w:val="6623094C"/>
    <w:rsid w:val="66A55805"/>
    <w:rsid w:val="670F7122"/>
    <w:rsid w:val="673D3C8F"/>
    <w:rsid w:val="67987117"/>
    <w:rsid w:val="67D0240D"/>
    <w:rsid w:val="681349F0"/>
    <w:rsid w:val="68D423D1"/>
    <w:rsid w:val="69C61149"/>
    <w:rsid w:val="6A1B7B8C"/>
    <w:rsid w:val="6AE85CC0"/>
    <w:rsid w:val="6AEA7C8A"/>
    <w:rsid w:val="6AFC176B"/>
    <w:rsid w:val="6B405AFC"/>
    <w:rsid w:val="6B6A0DCB"/>
    <w:rsid w:val="6BB71B92"/>
    <w:rsid w:val="6BE74894"/>
    <w:rsid w:val="6DA23CF4"/>
    <w:rsid w:val="6DA73C10"/>
    <w:rsid w:val="6DB6555E"/>
    <w:rsid w:val="6DE76703"/>
    <w:rsid w:val="6E1213FC"/>
    <w:rsid w:val="6ECB392F"/>
    <w:rsid w:val="6EF70BC7"/>
    <w:rsid w:val="6EFF7A7C"/>
    <w:rsid w:val="6F3B4DFA"/>
    <w:rsid w:val="6F7E4847"/>
    <w:rsid w:val="704C0A9F"/>
    <w:rsid w:val="70980188"/>
    <w:rsid w:val="70F43B5A"/>
    <w:rsid w:val="71044E3D"/>
    <w:rsid w:val="712E4649"/>
    <w:rsid w:val="71597917"/>
    <w:rsid w:val="71AF12E6"/>
    <w:rsid w:val="71F87130"/>
    <w:rsid w:val="72021D5D"/>
    <w:rsid w:val="72395053"/>
    <w:rsid w:val="72676064"/>
    <w:rsid w:val="7268662A"/>
    <w:rsid w:val="72992EA4"/>
    <w:rsid w:val="72F07E08"/>
    <w:rsid w:val="73326672"/>
    <w:rsid w:val="735E1215"/>
    <w:rsid w:val="73C91C40"/>
    <w:rsid w:val="73F73418"/>
    <w:rsid w:val="74145D78"/>
    <w:rsid w:val="74435A84"/>
    <w:rsid w:val="744907C9"/>
    <w:rsid w:val="75383CE8"/>
    <w:rsid w:val="763E1393"/>
    <w:rsid w:val="76562678"/>
    <w:rsid w:val="766F54E7"/>
    <w:rsid w:val="76796366"/>
    <w:rsid w:val="767D5E56"/>
    <w:rsid w:val="77577FB8"/>
    <w:rsid w:val="77972F48"/>
    <w:rsid w:val="77AB69F3"/>
    <w:rsid w:val="77BE6DCC"/>
    <w:rsid w:val="787B0197"/>
    <w:rsid w:val="789B0816"/>
    <w:rsid w:val="78A7540C"/>
    <w:rsid w:val="78B256A7"/>
    <w:rsid w:val="79144124"/>
    <w:rsid w:val="79A3551F"/>
    <w:rsid w:val="79CB512B"/>
    <w:rsid w:val="79FC4B2E"/>
    <w:rsid w:val="7A2E1215"/>
    <w:rsid w:val="7B607AF4"/>
    <w:rsid w:val="7B65510B"/>
    <w:rsid w:val="7B9D48A5"/>
    <w:rsid w:val="7C4411C4"/>
    <w:rsid w:val="7C741AA9"/>
    <w:rsid w:val="7CB1685A"/>
    <w:rsid w:val="7CD12A58"/>
    <w:rsid w:val="7D2863F0"/>
    <w:rsid w:val="7D425704"/>
    <w:rsid w:val="7EC62364"/>
    <w:rsid w:val="7F5434CC"/>
    <w:rsid w:val="7FA206DC"/>
    <w:rsid w:val="7FB34697"/>
    <w:rsid w:val="DFDF50EC"/>
    <w:rsid w:val="F35F8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3"/>
    <w:next w:val="1"/>
    <w:qFormat/>
    <w:uiPriority w:val="0"/>
    <w:pPr>
      <w:tabs>
        <w:tab w:val="left" w:pos="3996"/>
      </w:tabs>
      <w:spacing w:before="20"/>
      <w:ind w:right="255"/>
      <w:jc w:val="center"/>
      <w:outlineLvl w:val="0"/>
    </w:pPr>
    <w:rPr>
      <w:rFonts w:ascii="黑体" w:eastAsia="黑体"/>
      <w:sz w:val="36"/>
    </w:rPr>
  </w:style>
  <w:style w:type="paragraph" w:styleId="4">
    <w:name w:val="heading 2"/>
    <w:basedOn w:val="3"/>
    <w:next w:val="1"/>
    <w:qFormat/>
    <w:uiPriority w:val="0"/>
    <w:pPr>
      <w:tabs>
        <w:tab w:val="left" w:pos="709"/>
      </w:tabs>
      <w:spacing w:before="61"/>
      <w:ind w:left="218" w:firstLine="0"/>
      <w:outlineLvl w:val="1"/>
    </w:pPr>
    <w:rPr>
      <w:spacing w:val="-2"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spacing w:before="1"/>
      <w:ind w:left="708" w:hanging="491"/>
    </w:pPr>
    <w:rPr>
      <w:rFonts w:ascii="宋体" w:hAnsi="宋体" w:eastAsia="宋体" w:cs="宋体"/>
      <w:lang w:val="zh-CN" w:eastAsia="zh-CN" w:bidi="zh-CN"/>
    </w:r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6"/>
      <w:szCs w:val="36"/>
      <w:lang w:val="zh-CN" w:eastAsia="zh-CN" w:bidi="zh-CN"/>
    </w:rPr>
  </w:style>
  <w:style w:type="paragraph" w:styleId="6">
    <w:name w:val="Body Text Indent"/>
    <w:basedOn w:val="1"/>
    <w:qFormat/>
    <w:uiPriority w:val="0"/>
    <w:pPr>
      <w:autoSpaceDE w:val="0"/>
      <w:autoSpaceDN w:val="0"/>
      <w:adjustRightInd w:val="0"/>
      <w:spacing w:line="620" w:lineRule="atLeast"/>
      <w:ind w:firstLine="640" w:firstLineChars="200"/>
      <w:jc w:val="left"/>
    </w:pPr>
    <w:rPr>
      <w:rFonts w:ascii="仿宋_GB2312" w:eastAsia="仿宋_GB2312"/>
      <w:color w:val="000000"/>
      <w:kern w:val="0"/>
      <w:sz w:val="32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Theme="minorEastAsia" w:cstheme="minorBidi"/>
      <w:b/>
      <w:bCs/>
      <w:sz w:val="32"/>
      <w:szCs w:val="32"/>
    </w:rPr>
  </w:style>
  <w:style w:type="paragraph" w:styleId="10">
    <w:name w:val="Body Text First Indent 2"/>
    <w:basedOn w:val="6"/>
    <w:qFormat/>
    <w:uiPriority w:val="0"/>
    <w:pPr>
      <w:ind w:firstLine="420" w:firstLineChars="200"/>
    </w:pPr>
  </w:style>
  <w:style w:type="paragraph" w:customStyle="1" w:styleId="13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20125</Words>
  <Characters>21930</Characters>
  <Lines>0</Lines>
  <Paragraphs>0</Paragraphs>
  <TotalTime>0</TotalTime>
  <ScaleCrop>false</ScaleCrop>
  <LinksUpToDate>false</LinksUpToDate>
  <CharactersWithSpaces>22045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2022-06-07T03:25:00Z</dcterms:created>
  <dc:creator>龘寳</dc:creator>
  <cp:lastModifiedBy>远子</cp:lastModifiedBy>
  <cp:lastPrinted>2025-05-15T11:08:00Z</cp:lastPrinted>
  <dcterms:modified xsi:type="dcterms:W3CDTF">2026-06-14T15:27:38Z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E7A7BB9029AAEAD944552E6ACF4DC8A1_43</vt:lpwstr>
  </property>
  <property fmtid="{D5CDD505-2E9C-101B-9397-08002B2CF9AE}" pid="4" name="KSOTemplateDocerSaveRecord">
    <vt:lpwstr>eyJoZGlkIjoiODk2ZDQ2NmNlMmVlMzNhZjkyYjIyOTFmYTMzNmIxY2QiLCJ1c2VySWQiOiI0NTYzNTY1MTYifQ==</vt:lpwstr>
  </property>
</Properties>
</file>